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527"/>
      </w:tblGrid>
      <w:tr w:rsidR="009E3D59" w:rsidRPr="009E3D59" w14:paraId="46B50692" w14:textId="77777777" w:rsidTr="009E3D59">
        <w:tc>
          <w:tcPr>
            <w:tcW w:w="4669" w:type="dxa"/>
          </w:tcPr>
          <w:p w14:paraId="05397E58" w14:textId="77777777" w:rsidR="009E3D59" w:rsidRPr="009E3D59" w:rsidRDefault="009E3D59" w:rsidP="00AB5303">
            <w:pPr>
              <w:jc w:val="both"/>
              <w:rPr>
                <w:rFonts w:ascii="Times New Roman" w:hAnsi="Times New Roman"/>
                <w:szCs w:val="20"/>
              </w:rPr>
            </w:pPr>
            <w:proofErr w:type="spellStart"/>
            <w:r w:rsidRPr="009E3D59">
              <w:rPr>
                <w:rFonts w:ascii="Times New Roman" w:hAnsi="Times New Roman"/>
                <w:szCs w:val="20"/>
              </w:rPr>
              <w:t>Liisa-Ly</w:t>
            </w:r>
            <w:proofErr w:type="spellEnd"/>
            <w:r w:rsidRPr="009E3D59">
              <w:rPr>
                <w:rFonts w:ascii="Times New Roman" w:hAnsi="Times New Roman"/>
                <w:szCs w:val="20"/>
              </w:rPr>
              <w:t xml:space="preserve"> Pakosta</w:t>
            </w:r>
          </w:p>
          <w:p w14:paraId="660B1642" w14:textId="59018F16" w:rsidR="00DF64C7" w:rsidRDefault="009E3D59" w:rsidP="00AB5303">
            <w:pPr>
              <w:pStyle w:val="Vahedeta"/>
              <w:jc w:val="both"/>
              <w:rPr>
                <w:rFonts w:ascii="Times New Roman" w:hAnsi="Times New Roman"/>
                <w:color w:val="auto"/>
              </w:rPr>
            </w:pPr>
            <w:r w:rsidRPr="009E3D59">
              <w:rPr>
                <w:rFonts w:ascii="Times New Roman" w:hAnsi="Times New Roman"/>
                <w:color w:val="auto"/>
              </w:rPr>
              <w:t>Justiits- ja digiminister</w:t>
            </w:r>
          </w:p>
          <w:p w14:paraId="0E93DDB8" w14:textId="031C77F5" w:rsidR="00DF64C7" w:rsidRDefault="00DF64C7" w:rsidP="00AB5303">
            <w:pPr>
              <w:pStyle w:val="Vahedeta"/>
              <w:jc w:val="both"/>
              <w:rPr>
                <w:rFonts w:ascii="Times New Roman" w:hAnsi="Times New Roman"/>
                <w:color w:val="auto"/>
              </w:rPr>
            </w:pPr>
            <w:hyperlink r:id="rId7" w:history="1">
              <w:r w:rsidRPr="0019051B">
                <w:rPr>
                  <w:rStyle w:val="Hperlink"/>
                  <w:rFonts w:ascii="Times New Roman" w:hAnsi="Times New Roman"/>
                </w:rPr>
                <w:t>liisa-ly.pakosta@just.ee</w:t>
              </w:r>
            </w:hyperlink>
            <w:r>
              <w:rPr>
                <w:rFonts w:ascii="Times New Roman" w:hAnsi="Times New Roman"/>
                <w:color w:val="auto"/>
              </w:rPr>
              <w:t xml:space="preserve"> </w:t>
            </w:r>
          </w:p>
          <w:p w14:paraId="19DC7F29" w14:textId="77777777" w:rsidR="00DF64C7" w:rsidRDefault="00DF64C7" w:rsidP="00AB5303">
            <w:pPr>
              <w:pStyle w:val="Vahedeta"/>
              <w:jc w:val="both"/>
              <w:rPr>
                <w:rFonts w:ascii="Times New Roman" w:hAnsi="Times New Roman"/>
                <w:color w:val="auto"/>
              </w:rPr>
            </w:pPr>
          </w:p>
          <w:p w14:paraId="02939962" w14:textId="3EC1BCE7" w:rsidR="00DF64C7" w:rsidRPr="009E3D59" w:rsidRDefault="00DF64C7" w:rsidP="00AB5303">
            <w:pPr>
              <w:pStyle w:val="Vahedeta"/>
              <w:jc w:val="both"/>
              <w:rPr>
                <w:rFonts w:ascii="Times New Roman" w:hAnsi="Times New Roman"/>
                <w:color w:val="auto"/>
              </w:rPr>
            </w:pPr>
          </w:p>
          <w:p w14:paraId="5924EECD" w14:textId="2D991AAB" w:rsidR="009E3D59" w:rsidRPr="009E3D59" w:rsidRDefault="009E3D59" w:rsidP="00AB5303">
            <w:pPr>
              <w:jc w:val="both"/>
              <w:rPr>
                <w:rFonts w:ascii="Times New Roman" w:hAnsi="Times New Roman"/>
                <w:szCs w:val="20"/>
              </w:rPr>
            </w:pPr>
          </w:p>
        </w:tc>
        <w:tc>
          <w:tcPr>
            <w:tcW w:w="4527" w:type="dxa"/>
          </w:tcPr>
          <w:p w14:paraId="78EA11AD" w14:textId="77777777" w:rsidR="009E3D59" w:rsidRPr="009E3D59" w:rsidRDefault="009E3D59" w:rsidP="00AB5303">
            <w:pPr>
              <w:jc w:val="right"/>
              <w:rPr>
                <w:rFonts w:ascii="Times New Roman" w:hAnsi="Times New Roman"/>
                <w:szCs w:val="20"/>
              </w:rPr>
            </w:pPr>
            <w:r w:rsidRPr="009E3D59">
              <w:rPr>
                <w:rFonts w:ascii="Times New Roman" w:hAnsi="Times New Roman"/>
              </w:rPr>
              <w:t>23.08.2024</w:t>
            </w:r>
          </w:p>
        </w:tc>
      </w:tr>
    </w:tbl>
    <w:p w14:paraId="3F73EE61" w14:textId="77777777" w:rsidR="009E3D59" w:rsidRPr="009E3D59" w:rsidRDefault="009E3D59" w:rsidP="009E3D59">
      <w:pPr>
        <w:jc w:val="both"/>
        <w:rPr>
          <w:rFonts w:ascii="Times New Roman" w:hAnsi="Times New Roman" w:cs="Times New Roman"/>
          <w:szCs w:val="20"/>
        </w:rPr>
      </w:pPr>
    </w:p>
    <w:p w14:paraId="5D8CDB06" w14:textId="77777777" w:rsidR="009E3D59" w:rsidRPr="009E3D59" w:rsidRDefault="009E3D59" w:rsidP="009E3D59">
      <w:pPr>
        <w:rPr>
          <w:rFonts w:ascii="Times New Roman" w:hAnsi="Times New Roman" w:cs="Times New Roman"/>
          <w:szCs w:val="20"/>
        </w:rPr>
      </w:pPr>
    </w:p>
    <w:p w14:paraId="7FBB6292" w14:textId="77777777" w:rsidR="009E3D59" w:rsidRPr="009E3D59" w:rsidRDefault="009E3D59" w:rsidP="009E3D59">
      <w:pPr>
        <w:rPr>
          <w:rFonts w:ascii="Times New Roman" w:hAnsi="Times New Roman" w:cs="Times New Roman"/>
          <w:szCs w:val="20"/>
        </w:rPr>
      </w:pPr>
      <w:r w:rsidRPr="009E3D59">
        <w:rPr>
          <w:rFonts w:ascii="Times New Roman" w:hAnsi="Times New Roman" w:cs="Times New Roman"/>
          <w:szCs w:val="20"/>
        </w:rPr>
        <w:t>Lugupeetud minister</w:t>
      </w:r>
    </w:p>
    <w:p w14:paraId="52C182BC" w14:textId="77777777" w:rsidR="009E3D59" w:rsidRPr="009E3D59" w:rsidRDefault="009E3D59" w:rsidP="009E3D59">
      <w:pPr>
        <w:rPr>
          <w:rFonts w:ascii="Times New Roman" w:hAnsi="Times New Roman" w:cs="Times New Roman"/>
          <w:szCs w:val="20"/>
        </w:rPr>
      </w:pPr>
    </w:p>
    <w:p w14:paraId="64C13E56" w14:textId="77777777" w:rsidR="009E3D59" w:rsidRPr="009E3D59" w:rsidRDefault="009E3D59" w:rsidP="009E3D59">
      <w:pPr>
        <w:jc w:val="both"/>
        <w:rPr>
          <w:rFonts w:ascii="Times New Roman" w:hAnsi="Times New Roman" w:cs="Times New Roman"/>
          <w:szCs w:val="20"/>
        </w:rPr>
      </w:pPr>
      <w:r w:rsidRPr="009E3D59">
        <w:rPr>
          <w:rFonts w:ascii="Times New Roman" w:hAnsi="Times New Roman" w:cs="Times New Roman"/>
          <w:szCs w:val="20"/>
        </w:rPr>
        <w:t xml:space="preserve">I ja II astme kohtute juhid arutasid 22.08.2024 toimunud nõupäeval eelarve vähendamise vajadusega seonduvat ning otsustasid teha alljärgnevad ettepanekud, mis läbi tulude suurendamise väldiks vajadust eelarvet vähendada. Lisaks pakume välja ka võimalused I ja II astme kohtute 2025.-2027. a. kulude kokkuhoiuks. </w:t>
      </w:r>
    </w:p>
    <w:p w14:paraId="6481537D" w14:textId="77777777" w:rsidR="009E3D59" w:rsidRPr="009E3D59" w:rsidRDefault="009E3D59" w:rsidP="009E3D59">
      <w:pPr>
        <w:jc w:val="both"/>
        <w:rPr>
          <w:rFonts w:ascii="Times New Roman" w:hAnsi="Times New Roman" w:cs="Times New Roman"/>
          <w:szCs w:val="20"/>
        </w:rPr>
      </w:pPr>
    </w:p>
    <w:p w14:paraId="506CD1FA" w14:textId="423E9E7E" w:rsidR="009E3D59" w:rsidRPr="009E3D59" w:rsidRDefault="009E3D59" w:rsidP="009E3D59">
      <w:pPr>
        <w:jc w:val="both"/>
        <w:rPr>
          <w:rFonts w:ascii="Times New Roman" w:hAnsi="Times New Roman" w:cs="Times New Roman"/>
          <w:szCs w:val="20"/>
        </w:rPr>
      </w:pPr>
      <w:r w:rsidRPr="009E3D59">
        <w:rPr>
          <w:rFonts w:ascii="Times New Roman" w:hAnsi="Times New Roman" w:cs="Times New Roman"/>
          <w:szCs w:val="20"/>
        </w:rPr>
        <w:t xml:space="preserve">Rõhutame, et I ja II astme kohtute eelarve vähendamisel tuleb hoiduda  õigusemõistmist kui kohtute põhitegevust pärssivatest lahendustest vähemalt seni, kuni sellise sammu mõju ei tasanda </w:t>
      </w:r>
      <w:r w:rsidR="00E307A2">
        <w:rPr>
          <w:rFonts w:ascii="Times New Roman" w:hAnsi="Times New Roman" w:cs="Times New Roman"/>
          <w:szCs w:val="20"/>
        </w:rPr>
        <w:t xml:space="preserve">kohtute tööd vähendavad </w:t>
      </w:r>
      <w:r w:rsidRPr="009E3D59">
        <w:rPr>
          <w:rFonts w:ascii="Times New Roman" w:hAnsi="Times New Roman" w:cs="Times New Roman"/>
          <w:szCs w:val="20"/>
        </w:rPr>
        <w:t xml:space="preserve">seadusemuudatused ja digilahendused. </w:t>
      </w:r>
      <w:r>
        <w:rPr>
          <w:rFonts w:ascii="Times New Roman" w:hAnsi="Times New Roman" w:cs="Times New Roman"/>
          <w:szCs w:val="20"/>
        </w:rPr>
        <w:t>E</w:t>
      </w:r>
      <w:r w:rsidRPr="009E3D59">
        <w:rPr>
          <w:rFonts w:ascii="Times New Roman" w:hAnsi="Times New Roman" w:cs="Times New Roman"/>
          <w:szCs w:val="20"/>
        </w:rPr>
        <w:t xml:space="preserve">elkõige tööjõukulude kärpimine (sh kohtuniku ametikohtade täitmata jätmine) tooks niigi ülekoormatud kohtusüsteemis kaasa kohtuasjade menetlusaja arvestatava pikenemise ning seaks löögi alla igaühe õiguse tõhusale kohtulikule kaitsele. </w:t>
      </w:r>
      <w:r>
        <w:rPr>
          <w:rFonts w:ascii="Times New Roman" w:hAnsi="Times New Roman" w:cs="Times New Roman"/>
          <w:szCs w:val="20"/>
        </w:rPr>
        <w:t>T</w:t>
      </w:r>
      <w:r w:rsidRPr="009E3D59">
        <w:rPr>
          <w:rFonts w:ascii="Times New Roman" w:hAnsi="Times New Roman" w:cs="Times New Roman"/>
          <w:szCs w:val="20"/>
        </w:rPr>
        <w:t>aolis</w:t>
      </w:r>
      <w:r>
        <w:rPr>
          <w:rFonts w:ascii="Times New Roman" w:hAnsi="Times New Roman" w:cs="Times New Roman"/>
          <w:szCs w:val="20"/>
        </w:rPr>
        <w:t>ed</w:t>
      </w:r>
      <w:r w:rsidRPr="009E3D59">
        <w:rPr>
          <w:rFonts w:ascii="Times New Roman" w:hAnsi="Times New Roman" w:cs="Times New Roman"/>
          <w:szCs w:val="20"/>
        </w:rPr>
        <w:t xml:space="preserve"> lahendus</w:t>
      </w:r>
      <w:r>
        <w:rPr>
          <w:rFonts w:ascii="Times New Roman" w:hAnsi="Times New Roman" w:cs="Times New Roman"/>
          <w:szCs w:val="20"/>
        </w:rPr>
        <w:t>ed</w:t>
      </w:r>
      <w:r w:rsidRPr="009E3D59">
        <w:rPr>
          <w:rFonts w:ascii="Times New Roman" w:hAnsi="Times New Roman" w:cs="Times New Roman"/>
          <w:szCs w:val="20"/>
        </w:rPr>
        <w:t xml:space="preserve"> </w:t>
      </w:r>
      <w:r>
        <w:rPr>
          <w:rFonts w:ascii="Times New Roman" w:hAnsi="Times New Roman" w:cs="Times New Roman"/>
          <w:szCs w:val="20"/>
        </w:rPr>
        <w:t xml:space="preserve">on </w:t>
      </w:r>
      <w:r w:rsidRPr="009E3D59">
        <w:rPr>
          <w:rFonts w:ascii="Times New Roman" w:hAnsi="Times New Roman" w:cs="Times New Roman"/>
          <w:szCs w:val="20"/>
        </w:rPr>
        <w:t>mõeldav</w:t>
      </w:r>
      <w:r>
        <w:rPr>
          <w:rFonts w:ascii="Times New Roman" w:hAnsi="Times New Roman" w:cs="Times New Roman"/>
          <w:szCs w:val="20"/>
        </w:rPr>
        <w:t>ad</w:t>
      </w:r>
      <w:r w:rsidRPr="009E3D59">
        <w:rPr>
          <w:rFonts w:ascii="Times New Roman" w:hAnsi="Times New Roman" w:cs="Times New Roman"/>
          <w:szCs w:val="20"/>
        </w:rPr>
        <w:t xml:space="preserve"> üksnes </w:t>
      </w:r>
      <w:r w:rsidR="00422F37">
        <w:rPr>
          <w:rFonts w:ascii="Times New Roman" w:hAnsi="Times New Roman" w:cs="Times New Roman"/>
          <w:szCs w:val="20"/>
        </w:rPr>
        <w:t xml:space="preserve">viimase võimalusena. </w:t>
      </w:r>
      <w:r w:rsidRPr="009E3D59">
        <w:rPr>
          <w:rFonts w:ascii="Times New Roman" w:hAnsi="Times New Roman" w:cs="Times New Roman"/>
          <w:szCs w:val="20"/>
        </w:rPr>
        <w:t>Seetõttu peame oluliseks aastatel 2024-2025 pensionile siirduvatest kohtunikest vabanevate ametikohtade täitmiseks konkursside väljakuulutamist ning juba välja kuulutatud konkursside lõpule viimist. Juba välja kuulutatud konkursside tühistamine oleks konkursist osavõtjate ning kohtute suhtes ka sõnamurdlik.</w:t>
      </w:r>
    </w:p>
    <w:p w14:paraId="79C04F6A" w14:textId="77777777" w:rsidR="009E3D59" w:rsidRPr="009E3D59" w:rsidRDefault="009E3D59" w:rsidP="009E3D59">
      <w:pPr>
        <w:rPr>
          <w:rFonts w:ascii="Times New Roman" w:hAnsi="Times New Roman" w:cs="Times New Roman"/>
          <w:szCs w:val="20"/>
          <w:u w:val="single"/>
        </w:rPr>
      </w:pPr>
    </w:p>
    <w:p w14:paraId="61B38F6A" w14:textId="77777777" w:rsidR="009E3D59" w:rsidRPr="009E3D59" w:rsidRDefault="009E3D59" w:rsidP="009E3D59">
      <w:pPr>
        <w:rPr>
          <w:rFonts w:ascii="Times New Roman" w:hAnsi="Times New Roman" w:cs="Times New Roman"/>
          <w:b/>
          <w:bCs/>
          <w:szCs w:val="20"/>
          <w:u w:val="single"/>
        </w:rPr>
      </w:pPr>
      <w:r w:rsidRPr="009E3D59">
        <w:rPr>
          <w:rFonts w:ascii="Times New Roman" w:hAnsi="Times New Roman" w:cs="Times New Roman"/>
          <w:b/>
          <w:bCs/>
          <w:szCs w:val="20"/>
          <w:u w:val="single"/>
        </w:rPr>
        <w:t>Tulude suurendamine</w:t>
      </w:r>
      <w:bookmarkStart w:id="0" w:name="_Hlk175295761"/>
    </w:p>
    <w:p w14:paraId="4091C3BA" w14:textId="77777777" w:rsidR="009E3D59" w:rsidRPr="009E3D59" w:rsidRDefault="009E3D59" w:rsidP="009E3D59">
      <w:pPr>
        <w:rPr>
          <w:rFonts w:ascii="Times New Roman" w:hAnsi="Times New Roman" w:cs="Times New Roman"/>
          <w:b/>
          <w:bCs/>
          <w:szCs w:val="20"/>
          <w:u w:val="single"/>
        </w:rPr>
      </w:pPr>
    </w:p>
    <w:tbl>
      <w:tblPr>
        <w:tblW w:w="7780" w:type="dxa"/>
        <w:tblCellMar>
          <w:left w:w="70" w:type="dxa"/>
          <w:right w:w="70" w:type="dxa"/>
        </w:tblCellMar>
        <w:tblLook w:val="04A0" w:firstRow="1" w:lastRow="0" w:firstColumn="1" w:lastColumn="0" w:noHBand="0" w:noVBand="1"/>
      </w:tblPr>
      <w:tblGrid>
        <w:gridCol w:w="3940"/>
        <w:gridCol w:w="1280"/>
        <w:gridCol w:w="1280"/>
        <w:gridCol w:w="1280"/>
      </w:tblGrid>
      <w:tr w:rsidR="009E3D59" w:rsidRPr="009E3D59" w14:paraId="5525BCF3" w14:textId="77777777" w:rsidTr="00AB5303">
        <w:trPr>
          <w:trHeight w:val="288"/>
        </w:trPr>
        <w:tc>
          <w:tcPr>
            <w:tcW w:w="394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30E97D4" w14:textId="77777777" w:rsidR="009E3D59" w:rsidRPr="009E3D59" w:rsidRDefault="009E3D59" w:rsidP="00AB5303">
            <w:pP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Tulude suurenemine, eurot</w:t>
            </w:r>
          </w:p>
        </w:tc>
        <w:tc>
          <w:tcPr>
            <w:tcW w:w="1280" w:type="dxa"/>
            <w:tcBorders>
              <w:top w:val="single" w:sz="4" w:space="0" w:color="auto"/>
              <w:left w:val="nil"/>
              <w:bottom w:val="single" w:sz="4" w:space="0" w:color="auto"/>
              <w:right w:val="single" w:sz="4" w:space="0" w:color="auto"/>
            </w:tcBorders>
            <w:shd w:val="clear" w:color="000000" w:fill="C6E0B4"/>
            <w:noWrap/>
            <w:vAlign w:val="bottom"/>
            <w:hideMark/>
          </w:tcPr>
          <w:p w14:paraId="51E37103"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2025</w:t>
            </w:r>
          </w:p>
        </w:tc>
        <w:tc>
          <w:tcPr>
            <w:tcW w:w="1280" w:type="dxa"/>
            <w:tcBorders>
              <w:top w:val="single" w:sz="4" w:space="0" w:color="auto"/>
              <w:left w:val="nil"/>
              <w:bottom w:val="single" w:sz="4" w:space="0" w:color="auto"/>
              <w:right w:val="single" w:sz="4" w:space="0" w:color="auto"/>
            </w:tcBorders>
            <w:shd w:val="clear" w:color="000000" w:fill="C6E0B4"/>
            <w:noWrap/>
            <w:vAlign w:val="bottom"/>
            <w:hideMark/>
          </w:tcPr>
          <w:p w14:paraId="1D73677E"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2026</w:t>
            </w:r>
          </w:p>
        </w:tc>
        <w:tc>
          <w:tcPr>
            <w:tcW w:w="1280" w:type="dxa"/>
            <w:tcBorders>
              <w:top w:val="single" w:sz="4" w:space="0" w:color="auto"/>
              <w:left w:val="nil"/>
              <w:bottom w:val="single" w:sz="4" w:space="0" w:color="auto"/>
              <w:right w:val="single" w:sz="4" w:space="0" w:color="auto"/>
            </w:tcBorders>
            <w:shd w:val="clear" w:color="000000" w:fill="C6E0B4"/>
            <w:noWrap/>
            <w:vAlign w:val="bottom"/>
            <w:hideMark/>
          </w:tcPr>
          <w:p w14:paraId="6F5619B9"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2027</w:t>
            </w:r>
          </w:p>
        </w:tc>
      </w:tr>
      <w:tr w:rsidR="009E3D59" w:rsidRPr="009E3D59" w14:paraId="117DF1C1" w14:textId="77777777" w:rsidTr="00AB5303">
        <w:trPr>
          <w:trHeight w:val="288"/>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23CEA21A" w14:textId="77777777" w:rsidR="009E3D59" w:rsidRPr="009E3D59" w:rsidRDefault="009E3D59" w:rsidP="00AB5303">
            <w:pP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Kinnistamistoimingute riigilõivude laekumise suurenemine</w:t>
            </w:r>
          </w:p>
        </w:tc>
        <w:tc>
          <w:tcPr>
            <w:tcW w:w="1280" w:type="dxa"/>
            <w:tcBorders>
              <w:top w:val="nil"/>
              <w:left w:val="nil"/>
              <w:bottom w:val="single" w:sz="4" w:space="0" w:color="auto"/>
              <w:right w:val="single" w:sz="4" w:space="0" w:color="auto"/>
            </w:tcBorders>
            <w:shd w:val="clear" w:color="auto" w:fill="auto"/>
            <w:noWrap/>
            <w:vAlign w:val="bottom"/>
            <w:hideMark/>
          </w:tcPr>
          <w:p w14:paraId="492D8188"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4 000 000</w:t>
            </w:r>
          </w:p>
        </w:tc>
        <w:tc>
          <w:tcPr>
            <w:tcW w:w="1280" w:type="dxa"/>
            <w:tcBorders>
              <w:top w:val="nil"/>
              <w:left w:val="nil"/>
              <w:bottom w:val="single" w:sz="4" w:space="0" w:color="auto"/>
              <w:right w:val="single" w:sz="4" w:space="0" w:color="auto"/>
            </w:tcBorders>
            <w:shd w:val="clear" w:color="auto" w:fill="auto"/>
            <w:noWrap/>
            <w:vAlign w:val="bottom"/>
            <w:hideMark/>
          </w:tcPr>
          <w:p w14:paraId="71CF202F"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4 000 000</w:t>
            </w:r>
          </w:p>
        </w:tc>
        <w:tc>
          <w:tcPr>
            <w:tcW w:w="1280" w:type="dxa"/>
            <w:tcBorders>
              <w:top w:val="nil"/>
              <w:left w:val="nil"/>
              <w:bottom w:val="single" w:sz="4" w:space="0" w:color="auto"/>
              <w:right w:val="single" w:sz="4" w:space="0" w:color="auto"/>
            </w:tcBorders>
            <w:shd w:val="clear" w:color="auto" w:fill="auto"/>
            <w:noWrap/>
            <w:vAlign w:val="bottom"/>
            <w:hideMark/>
          </w:tcPr>
          <w:p w14:paraId="3212ACDA"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4 000 000</w:t>
            </w:r>
          </w:p>
        </w:tc>
      </w:tr>
      <w:tr w:rsidR="009E3D59" w:rsidRPr="009E3D59" w14:paraId="6366356C" w14:textId="77777777" w:rsidTr="00AB5303">
        <w:trPr>
          <w:trHeight w:val="288"/>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27B02253" w14:textId="77777777" w:rsidR="009E3D59" w:rsidRPr="009E3D59" w:rsidRDefault="009E3D59" w:rsidP="00AB5303">
            <w:pP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Registritoimingute riigilõivude laekumise suurenemine</w:t>
            </w:r>
          </w:p>
        </w:tc>
        <w:tc>
          <w:tcPr>
            <w:tcW w:w="1280" w:type="dxa"/>
            <w:tcBorders>
              <w:top w:val="nil"/>
              <w:left w:val="nil"/>
              <w:bottom w:val="single" w:sz="4" w:space="0" w:color="auto"/>
              <w:right w:val="single" w:sz="4" w:space="0" w:color="auto"/>
            </w:tcBorders>
            <w:shd w:val="clear" w:color="auto" w:fill="auto"/>
            <w:noWrap/>
            <w:vAlign w:val="bottom"/>
            <w:hideMark/>
          </w:tcPr>
          <w:p w14:paraId="2B21A03F"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1 500 000</w:t>
            </w:r>
          </w:p>
        </w:tc>
        <w:tc>
          <w:tcPr>
            <w:tcW w:w="1280" w:type="dxa"/>
            <w:tcBorders>
              <w:top w:val="nil"/>
              <w:left w:val="nil"/>
              <w:bottom w:val="single" w:sz="4" w:space="0" w:color="auto"/>
              <w:right w:val="single" w:sz="4" w:space="0" w:color="auto"/>
            </w:tcBorders>
            <w:shd w:val="clear" w:color="auto" w:fill="auto"/>
            <w:noWrap/>
            <w:vAlign w:val="bottom"/>
            <w:hideMark/>
          </w:tcPr>
          <w:p w14:paraId="440D5F69"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1 500 000</w:t>
            </w:r>
          </w:p>
        </w:tc>
        <w:tc>
          <w:tcPr>
            <w:tcW w:w="1280" w:type="dxa"/>
            <w:tcBorders>
              <w:top w:val="nil"/>
              <w:left w:val="nil"/>
              <w:bottom w:val="single" w:sz="4" w:space="0" w:color="auto"/>
              <w:right w:val="single" w:sz="4" w:space="0" w:color="auto"/>
            </w:tcBorders>
            <w:shd w:val="clear" w:color="auto" w:fill="auto"/>
            <w:noWrap/>
            <w:vAlign w:val="bottom"/>
            <w:hideMark/>
          </w:tcPr>
          <w:p w14:paraId="501226C5"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1 500 000</w:t>
            </w:r>
          </w:p>
        </w:tc>
      </w:tr>
      <w:tr w:rsidR="009E3D59" w:rsidRPr="009E3D59" w14:paraId="73BA5546" w14:textId="77777777" w:rsidTr="00AB5303">
        <w:trPr>
          <w:trHeight w:val="288"/>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631C529D" w14:textId="77777777" w:rsidR="009E3D59" w:rsidRPr="009E3D59" w:rsidRDefault="009E3D59" w:rsidP="00AB5303">
            <w:pP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Kohtumenetluse riigilõivude laekumise suurenemine</w:t>
            </w:r>
          </w:p>
        </w:tc>
        <w:tc>
          <w:tcPr>
            <w:tcW w:w="1280" w:type="dxa"/>
            <w:tcBorders>
              <w:top w:val="nil"/>
              <w:left w:val="nil"/>
              <w:bottom w:val="single" w:sz="4" w:space="0" w:color="auto"/>
              <w:right w:val="single" w:sz="4" w:space="0" w:color="auto"/>
            </w:tcBorders>
            <w:shd w:val="clear" w:color="auto" w:fill="auto"/>
            <w:noWrap/>
            <w:vAlign w:val="bottom"/>
            <w:hideMark/>
          </w:tcPr>
          <w:p w14:paraId="509A3DD5"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42E454"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2 000 000</w:t>
            </w:r>
          </w:p>
        </w:tc>
        <w:tc>
          <w:tcPr>
            <w:tcW w:w="1280" w:type="dxa"/>
            <w:tcBorders>
              <w:top w:val="nil"/>
              <w:left w:val="nil"/>
              <w:bottom w:val="single" w:sz="4" w:space="0" w:color="auto"/>
              <w:right w:val="single" w:sz="4" w:space="0" w:color="auto"/>
            </w:tcBorders>
            <w:shd w:val="clear" w:color="auto" w:fill="auto"/>
            <w:noWrap/>
            <w:vAlign w:val="bottom"/>
            <w:hideMark/>
          </w:tcPr>
          <w:p w14:paraId="493E3D16"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2 000 000</w:t>
            </w:r>
          </w:p>
        </w:tc>
      </w:tr>
      <w:tr w:rsidR="009E3D59" w:rsidRPr="009E3D59" w14:paraId="4EDBD626" w14:textId="77777777" w:rsidTr="00AB5303">
        <w:trPr>
          <w:trHeight w:val="564"/>
        </w:trPr>
        <w:tc>
          <w:tcPr>
            <w:tcW w:w="3940" w:type="dxa"/>
            <w:tcBorders>
              <w:top w:val="nil"/>
              <w:left w:val="single" w:sz="4" w:space="0" w:color="auto"/>
              <w:bottom w:val="single" w:sz="4" w:space="0" w:color="auto"/>
              <w:right w:val="single" w:sz="4" w:space="0" w:color="auto"/>
            </w:tcBorders>
            <w:shd w:val="clear" w:color="auto" w:fill="auto"/>
            <w:vAlign w:val="bottom"/>
            <w:hideMark/>
          </w:tcPr>
          <w:p w14:paraId="4E6647EE" w14:textId="77777777" w:rsidR="009E3D59" w:rsidRPr="009E3D59" w:rsidRDefault="009E3D59" w:rsidP="00AB5303">
            <w:pP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Äriregistri trahvide laekumise prognoosi suurendamine</w:t>
            </w:r>
          </w:p>
        </w:tc>
        <w:tc>
          <w:tcPr>
            <w:tcW w:w="1280" w:type="dxa"/>
            <w:tcBorders>
              <w:top w:val="nil"/>
              <w:left w:val="nil"/>
              <w:bottom w:val="single" w:sz="4" w:space="0" w:color="auto"/>
              <w:right w:val="single" w:sz="4" w:space="0" w:color="auto"/>
            </w:tcBorders>
            <w:shd w:val="clear" w:color="auto" w:fill="auto"/>
            <w:noWrap/>
            <w:vAlign w:val="center"/>
            <w:hideMark/>
          </w:tcPr>
          <w:p w14:paraId="44E245B6" w14:textId="77777777" w:rsidR="009E3D59" w:rsidRPr="009E3D59" w:rsidRDefault="009E3D59" w:rsidP="00AB5303">
            <w:pPr>
              <w:jc w:val="right"/>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1 000 000</w:t>
            </w:r>
          </w:p>
        </w:tc>
        <w:tc>
          <w:tcPr>
            <w:tcW w:w="1280" w:type="dxa"/>
            <w:tcBorders>
              <w:top w:val="nil"/>
              <w:left w:val="nil"/>
              <w:bottom w:val="single" w:sz="4" w:space="0" w:color="auto"/>
              <w:right w:val="single" w:sz="4" w:space="0" w:color="auto"/>
            </w:tcBorders>
            <w:shd w:val="clear" w:color="auto" w:fill="auto"/>
            <w:noWrap/>
            <w:vAlign w:val="center"/>
            <w:hideMark/>
          </w:tcPr>
          <w:p w14:paraId="37991F33" w14:textId="77777777" w:rsidR="009E3D59" w:rsidRPr="009E3D59" w:rsidRDefault="009E3D59" w:rsidP="00AB5303">
            <w:pPr>
              <w:jc w:val="right"/>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1 000 000</w:t>
            </w:r>
          </w:p>
        </w:tc>
        <w:tc>
          <w:tcPr>
            <w:tcW w:w="1280" w:type="dxa"/>
            <w:tcBorders>
              <w:top w:val="nil"/>
              <w:left w:val="nil"/>
              <w:bottom w:val="single" w:sz="4" w:space="0" w:color="auto"/>
              <w:right w:val="single" w:sz="4" w:space="0" w:color="auto"/>
            </w:tcBorders>
            <w:shd w:val="clear" w:color="auto" w:fill="auto"/>
            <w:noWrap/>
            <w:vAlign w:val="center"/>
            <w:hideMark/>
          </w:tcPr>
          <w:p w14:paraId="084EB754" w14:textId="77777777" w:rsidR="009E3D59" w:rsidRPr="009E3D59" w:rsidRDefault="009E3D59" w:rsidP="00AB5303">
            <w:pPr>
              <w:jc w:val="right"/>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1 000 000</w:t>
            </w:r>
          </w:p>
        </w:tc>
      </w:tr>
      <w:tr w:rsidR="009E3D59" w:rsidRPr="009E3D59" w14:paraId="6999B5BA" w14:textId="77777777" w:rsidTr="00AB5303">
        <w:trPr>
          <w:trHeight w:val="288"/>
        </w:trPr>
        <w:tc>
          <w:tcPr>
            <w:tcW w:w="3940" w:type="dxa"/>
            <w:tcBorders>
              <w:top w:val="nil"/>
              <w:left w:val="single" w:sz="4" w:space="0" w:color="auto"/>
              <w:bottom w:val="single" w:sz="4" w:space="0" w:color="auto"/>
              <w:right w:val="single" w:sz="4" w:space="0" w:color="auto"/>
            </w:tcBorders>
            <w:shd w:val="clear" w:color="000000" w:fill="C6E0B4"/>
            <w:noWrap/>
            <w:vAlign w:val="bottom"/>
            <w:hideMark/>
          </w:tcPr>
          <w:p w14:paraId="62B35854" w14:textId="77777777" w:rsidR="009E3D59" w:rsidRPr="009E3D59" w:rsidRDefault="009E3D59" w:rsidP="00AB5303">
            <w:pP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 xml:space="preserve">Kokku </w:t>
            </w:r>
          </w:p>
        </w:tc>
        <w:tc>
          <w:tcPr>
            <w:tcW w:w="1280" w:type="dxa"/>
            <w:tcBorders>
              <w:top w:val="nil"/>
              <w:left w:val="nil"/>
              <w:bottom w:val="single" w:sz="4" w:space="0" w:color="auto"/>
              <w:right w:val="single" w:sz="4" w:space="0" w:color="auto"/>
            </w:tcBorders>
            <w:shd w:val="clear" w:color="000000" w:fill="C6E0B4"/>
            <w:noWrap/>
            <w:vAlign w:val="bottom"/>
            <w:hideMark/>
          </w:tcPr>
          <w:p w14:paraId="15507745" w14:textId="77777777" w:rsidR="009E3D59" w:rsidRPr="009E3D59" w:rsidRDefault="009E3D59" w:rsidP="00AB5303">
            <w:pPr>
              <w:jc w:val="right"/>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6 500 000</w:t>
            </w:r>
          </w:p>
        </w:tc>
        <w:tc>
          <w:tcPr>
            <w:tcW w:w="1280" w:type="dxa"/>
            <w:tcBorders>
              <w:top w:val="nil"/>
              <w:left w:val="nil"/>
              <w:bottom w:val="single" w:sz="4" w:space="0" w:color="auto"/>
              <w:right w:val="single" w:sz="4" w:space="0" w:color="auto"/>
            </w:tcBorders>
            <w:shd w:val="clear" w:color="000000" w:fill="C6E0B4"/>
            <w:noWrap/>
            <w:vAlign w:val="bottom"/>
            <w:hideMark/>
          </w:tcPr>
          <w:p w14:paraId="4AFC42FF" w14:textId="77777777" w:rsidR="009E3D59" w:rsidRPr="009E3D59" w:rsidRDefault="009E3D59" w:rsidP="00AB5303">
            <w:pPr>
              <w:jc w:val="right"/>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8 500 000</w:t>
            </w:r>
          </w:p>
        </w:tc>
        <w:tc>
          <w:tcPr>
            <w:tcW w:w="1280" w:type="dxa"/>
            <w:tcBorders>
              <w:top w:val="nil"/>
              <w:left w:val="nil"/>
              <w:bottom w:val="single" w:sz="4" w:space="0" w:color="auto"/>
              <w:right w:val="single" w:sz="4" w:space="0" w:color="auto"/>
            </w:tcBorders>
            <w:shd w:val="clear" w:color="000000" w:fill="C6E0B4"/>
            <w:noWrap/>
            <w:vAlign w:val="bottom"/>
            <w:hideMark/>
          </w:tcPr>
          <w:p w14:paraId="4AA2FB91" w14:textId="77777777" w:rsidR="009E3D59" w:rsidRPr="009E3D59" w:rsidRDefault="009E3D59" w:rsidP="00AB5303">
            <w:pPr>
              <w:jc w:val="right"/>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8 500 000</w:t>
            </w:r>
          </w:p>
        </w:tc>
      </w:tr>
      <w:bookmarkEnd w:id="0"/>
    </w:tbl>
    <w:p w14:paraId="48DD886C" w14:textId="77777777" w:rsidR="009E3D59" w:rsidRPr="009E3D59" w:rsidRDefault="009E3D59" w:rsidP="009E3D59">
      <w:pPr>
        <w:jc w:val="both"/>
        <w:rPr>
          <w:rFonts w:ascii="Times New Roman" w:hAnsi="Times New Roman" w:cs="Times New Roman"/>
          <w:szCs w:val="20"/>
        </w:rPr>
      </w:pPr>
    </w:p>
    <w:p w14:paraId="75C767A1" w14:textId="77777777" w:rsidR="009E3D59" w:rsidRPr="009E3D59" w:rsidRDefault="009E3D59" w:rsidP="009E3D59">
      <w:pPr>
        <w:jc w:val="both"/>
        <w:rPr>
          <w:rFonts w:ascii="Times New Roman" w:hAnsi="Times New Roman" w:cs="Times New Roman"/>
          <w:szCs w:val="20"/>
        </w:rPr>
      </w:pPr>
      <w:r w:rsidRPr="009E3D59">
        <w:rPr>
          <w:rFonts w:ascii="Times New Roman" w:hAnsi="Times New Roman" w:cs="Times New Roman"/>
          <w:szCs w:val="20"/>
        </w:rPr>
        <w:t xml:space="preserve">Riigilõivuseaduse muutmise seaduse eelnõu kinnistusraamatu ja äriregistri toimingutelt tasutavate lõivude määrade tõstmiseks on töös. Lõivumäärade suurenemisel kasvavad tulud 5,5 milj eurot aastas, isegi kui tehingute arv 10-11% väheneb. </w:t>
      </w:r>
    </w:p>
    <w:p w14:paraId="7DDF87DE" w14:textId="77777777" w:rsidR="009E3D59" w:rsidRPr="009E3D59" w:rsidRDefault="009E3D59" w:rsidP="009E3D59">
      <w:pPr>
        <w:jc w:val="both"/>
        <w:rPr>
          <w:rFonts w:ascii="Times New Roman" w:hAnsi="Times New Roman" w:cs="Times New Roman"/>
          <w:szCs w:val="20"/>
        </w:rPr>
      </w:pPr>
    </w:p>
    <w:p w14:paraId="036C3D93" w14:textId="77777777" w:rsidR="009E3D59" w:rsidRPr="009E3D59" w:rsidRDefault="009E3D59" w:rsidP="009E3D59">
      <w:pPr>
        <w:jc w:val="both"/>
        <w:rPr>
          <w:rFonts w:ascii="Times New Roman" w:hAnsi="Times New Roman" w:cs="Times New Roman"/>
          <w:szCs w:val="20"/>
        </w:rPr>
      </w:pPr>
      <w:r w:rsidRPr="009E3D59">
        <w:rPr>
          <w:rFonts w:ascii="Times New Roman" w:hAnsi="Times New Roman" w:cs="Times New Roman"/>
          <w:szCs w:val="20"/>
        </w:rPr>
        <w:t>Kohtumenetluse riigilõivude määrade tõstmine vajab seadusemuudatust. Lõivude suurendamisel 10</w:t>
      </w:r>
      <w:r w:rsidRPr="009E3D59">
        <w:rPr>
          <w:rFonts w:ascii="Times New Roman" w:hAnsi="Times New Roman" w:cs="Times New Roman"/>
          <w:szCs w:val="20"/>
        </w:rPr>
        <w:noBreakHyphen/>
        <w:t>15% võrra ja kohtusse saabuvate asjade arvu püsimisel  2023. aasta tasemel, kasvavad tulud 2,0 milj eurot aastas.</w:t>
      </w:r>
    </w:p>
    <w:p w14:paraId="6A82CF7F" w14:textId="77777777" w:rsidR="009E3D59" w:rsidRPr="009E3D59" w:rsidRDefault="009E3D59" w:rsidP="009E3D59">
      <w:pPr>
        <w:jc w:val="both"/>
        <w:rPr>
          <w:rFonts w:ascii="Times New Roman" w:hAnsi="Times New Roman" w:cs="Times New Roman"/>
          <w:szCs w:val="20"/>
        </w:rPr>
      </w:pPr>
    </w:p>
    <w:p w14:paraId="375F2396" w14:textId="77777777" w:rsidR="009E3D59" w:rsidRPr="009E3D59" w:rsidRDefault="009E3D59" w:rsidP="009E3D59">
      <w:pPr>
        <w:jc w:val="both"/>
        <w:rPr>
          <w:rFonts w:ascii="Times New Roman" w:hAnsi="Times New Roman" w:cs="Times New Roman"/>
          <w:szCs w:val="20"/>
        </w:rPr>
      </w:pPr>
      <w:r w:rsidRPr="009E3D59">
        <w:rPr>
          <w:rFonts w:ascii="Times New Roman" w:hAnsi="Times New Roman" w:cs="Times New Roman"/>
          <w:szCs w:val="20"/>
        </w:rPr>
        <w:t>Äriregistri trahvide laekumise prognoosi suurendamine 1,0 milj euro võrra aastas baseerub 2024. aasta 7 kuu andmetel ning väljasaadetud trahviteatiste mahul.</w:t>
      </w:r>
    </w:p>
    <w:p w14:paraId="57E51346" w14:textId="77777777" w:rsidR="009E3D59" w:rsidRPr="009E3D59" w:rsidRDefault="009E3D59" w:rsidP="009E3D59">
      <w:pPr>
        <w:jc w:val="both"/>
        <w:rPr>
          <w:rFonts w:ascii="Times New Roman" w:hAnsi="Times New Roman" w:cs="Times New Roman"/>
          <w:b/>
          <w:bCs/>
          <w:szCs w:val="20"/>
          <w:u w:val="single"/>
        </w:rPr>
      </w:pPr>
    </w:p>
    <w:p w14:paraId="2F2911C1" w14:textId="77777777" w:rsidR="009E3D59" w:rsidRPr="009E3D59" w:rsidRDefault="009E3D59" w:rsidP="009E3D59">
      <w:pPr>
        <w:jc w:val="both"/>
        <w:rPr>
          <w:rFonts w:ascii="Times New Roman" w:hAnsi="Times New Roman" w:cs="Times New Roman"/>
          <w:b/>
          <w:bCs/>
          <w:szCs w:val="20"/>
          <w:u w:val="single"/>
        </w:rPr>
      </w:pPr>
    </w:p>
    <w:p w14:paraId="559AEF34" w14:textId="77777777" w:rsidR="009E3D59" w:rsidRPr="009E3D59" w:rsidRDefault="009E3D59" w:rsidP="009E3D59">
      <w:pPr>
        <w:jc w:val="both"/>
        <w:rPr>
          <w:rFonts w:ascii="Times New Roman" w:hAnsi="Times New Roman" w:cs="Times New Roman"/>
          <w:b/>
          <w:bCs/>
          <w:szCs w:val="20"/>
          <w:u w:val="single"/>
        </w:rPr>
      </w:pPr>
      <w:r w:rsidRPr="009E3D59">
        <w:rPr>
          <w:rFonts w:ascii="Times New Roman" w:hAnsi="Times New Roman" w:cs="Times New Roman"/>
          <w:b/>
          <w:bCs/>
          <w:szCs w:val="20"/>
          <w:u w:val="single"/>
        </w:rPr>
        <w:t>Kulude vähendamine</w:t>
      </w:r>
    </w:p>
    <w:p w14:paraId="33D792C8" w14:textId="77777777" w:rsidR="009E3D59" w:rsidRPr="009E3D59" w:rsidRDefault="009E3D59" w:rsidP="009E3D59">
      <w:pPr>
        <w:jc w:val="both"/>
        <w:rPr>
          <w:rFonts w:ascii="Times New Roman" w:hAnsi="Times New Roman" w:cs="Times New Roman"/>
          <w:b/>
          <w:bCs/>
          <w:szCs w:val="20"/>
          <w:u w:val="single"/>
        </w:rPr>
      </w:pPr>
    </w:p>
    <w:p w14:paraId="7026C3EB" w14:textId="77777777" w:rsidR="009E3D59" w:rsidRPr="009E3D59" w:rsidRDefault="009E3D59" w:rsidP="009E3D59">
      <w:pPr>
        <w:pStyle w:val="Loendilik"/>
        <w:numPr>
          <w:ilvl w:val="0"/>
          <w:numId w:val="1"/>
        </w:numPr>
        <w:jc w:val="both"/>
        <w:rPr>
          <w:rFonts w:ascii="Times New Roman" w:hAnsi="Times New Roman" w:cs="Times New Roman"/>
          <w:sz w:val="20"/>
          <w:szCs w:val="20"/>
        </w:rPr>
      </w:pPr>
      <w:r w:rsidRPr="009E3D59">
        <w:rPr>
          <w:rFonts w:ascii="Times New Roman" w:hAnsi="Times New Roman" w:cs="Times New Roman"/>
          <w:sz w:val="20"/>
          <w:szCs w:val="20"/>
        </w:rPr>
        <w:t>Kinnisvara</w:t>
      </w:r>
    </w:p>
    <w:tbl>
      <w:tblPr>
        <w:tblW w:w="8060" w:type="dxa"/>
        <w:tblCellMar>
          <w:left w:w="70" w:type="dxa"/>
          <w:right w:w="70" w:type="dxa"/>
        </w:tblCellMar>
        <w:tblLook w:val="04A0" w:firstRow="1" w:lastRow="0" w:firstColumn="1" w:lastColumn="0" w:noHBand="0" w:noVBand="1"/>
      </w:tblPr>
      <w:tblGrid>
        <w:gridCol w:w="4220"/>
        <w:gridCol w:w="1280"/>
        <w:gridCol w:w="1280"/>
        <w:gridCol w:w="1280"/>
      </w:tblGrid>
      <w:tr w:rsidR="009E3D59" w:rsidRPr="009E3D59" w14:paraId="1C2841AD" w14:textId="77777777" w:rsidTr="00AB5303">
        <w:trPr>
          <w:trHeight w:val="288"/>
        </w:trPr>
        <w:tc>
          <w:tcPr>
            <w:tcW w:w="422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A36F03B" w14:textId="77777777" w:rsidR="009E3D59" w:rsidRPr="009E3D59" w:rsidRDefault="009E3D59" w:rsidP="00AB5303">
            <w:pP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Kulude vähenemine, eurot</w:t>
            </w:r>
          </w:p>
        </w:tc>
        <w:tc>
          <w:tcPr>
            <w:tcW w:w="1280" w:type="dxa"/>
            <w:tcBorders>
              <w:top w:val="single" w:sz="4" w:space="0" w:color="auto"/>
              <w:left w:val="nil"/>
              <w:bottom w:val="single" w:sz="4" w:space="0" w:color="auto"/>
              <w:right w:val="single" w:sz="4" w:space="0" w:color="auto"/>
            </w:tcBorders>
            <w:shd w:val="clear" w:color="000000" w:fill="FFF2CC"/>
            <w:noWrap/>
            <w:vAlign w:val="bottom"/>
            <w:hideMark/>
          </w:tcPr>
          <w:p w14:paraId="48AAC39A"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2025</w:t>
            </w:r>
          </w:p>
        </w:tc>
        <w:tc>
          <w:tcPr>
            <w:tcW w:w="1280" w:type="dxa"/>
            <w:tcBorders>
              <w:top w:val="single" w:sz="4" w:space="0" w:color="auto"/>
              <w:left w:val="nil"/>
              <w:bottom w:val="single" w:sz="4" w:space="0" w:color="auto"/>
              <w:right w:val="single" w:sz="4" w:space="0" w:color="auto"/>
            </w:tcBorders>
            <w:shd w:val="clear" w:color="000000" w:fill="FFF2CC"/>
            <w:noWrap/>
            <w:vAlign w:val="bottom"/>
            <w:hideMark/>
          </w:tcPr>
          <w:p w14:paraId="5A1EBF50"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2026</w:t>
            </w:r>
          </w:p>
        </w:tc>
        <w:tc>
          <w:tcPr>
            <w:tcW w:w="1280" w:type="dxa"/>
            <w:tcBorders>
              <w:top w:val="single" w:sz="4" w:space="0" w:color="auto"/>
              <w:left w:val="nil"/>
              <w:bottom w:val="single" w:sz="4" w:space="0" w:color="auto"/>
              <w:right w:val="single" w:sz="4" w:space="0" w:color="auto"/>
            </w:tcBorders>
            <w:shd w:val="clear" w:color="000000" w:fill="FFF2CC"/>
            <w:noWrap/>
            <w:vAlign w:val="bottom"/>
            <w:hideMark/>
          </w:tcPr>
          <w:p w14:paraId="689E4E21"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2027</w:t>
            </w:r>
          </w:p>
        </w:tc>
      </w:tr>
      <w:tr w:rsidR="009E3D59" w:rsidRPr="009E3D59" w14:paraId="6B380981" w14:textId="77777777" w:rsidTr="00AB5303">
        <w:trPr>
          <w:trHeight w:val="564"/>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4F6C3CB9" w14:textId="77777777" w:rsidR="009E3D59" w:rsidRPr="009E3D59" w:rsidRDefault="009E3D59" w:rsidP="00AB5303">
            <w:pP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RKAS kulude, sh käibemaks, ajutine vähenemine</w:t>
            </w:r>
          </w:p>
        </w:tc>
        <w:tc>
          <w:tcPr>
            <w:tcW w:w="1280" w:type="dxa"/>
            <w:tcBorders>
              <w:top w:val="nil"/>
              <w:left w:val="nil"/>
              <w:bottom w:val="single" w:sz="4" w:space="0" w:color="auto"/>
              <w:right w:val="single" w:sz="4" w:space="0" w:color="auto"/>
            </w:tcBorders>
            <w:shd w:val="clear" w:color="auto" w:fill="auto"/>
            <w:noWrap/>
            <w:vAlign w:val="center"/>
            <w:hideMark/>
          </w:tcPr>
          <w:p w14:paraId="06626BDD"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502 558</w:t>
            </w:r>
          </w:p>
        </w:tc>
        <w:tc>
          <w:tcPr>
            <w:tcW w:w="1280" w:type="dxa"/>
            <w:tcBorders>
              <w:top w:val="nil"/>
              <w:left w:val="nil"/>
              <w:bottom w:val="single" w:sz="4" w:space="0" w:color="auto"/>
              <w:right w:val="single" w:sz="4" w:space="0" w:color="auto"/>
            </w:tcBorders>
            <w:shd w:val="clear" w:color="auto" w:fill="auto"/>
            <w:noWrap/>
            <w:vAlign w:val="bottom"/>
            <w:hideMark/>
          </w:tcPr>
          <w:p w14:paraId="08D0AAEC"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39C499"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 </w:t>
            </w:r>
          </w:p>
        </w:tc>
      </w:tr>
      <w:tr w:rsidR="009E3D59" w:rsidRPr="009E3D59" w14:paraId="3DECCACE" w14:textId="77777777" w:rsidTr="00AB5303">
        <w:trPr>
          <w:trHeight w:val="288"/>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5FD19797" w14:textId="77777777" w:rsidR="009E3D59" w:rsidRPr="009E3D59" w:rsidRDefault="009E3D59" w:rsidP="00AB5303">
            <w:pP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RKAS kulude, sh km, püsiv kokkuhoid aastas</w:t>
            </w:r>
          </w:p>
        </w:tc>
        <w:tc>
          <w:tcPr>
            <w:tcW w:w="1280" w:type="dxa"/>
            <w:tcBorders>
              <w:top w:val="nil"/>
              <w:left w:val="nil"/>
              <w:bottom w:val="single" w:sz="4" w:space="0" w:color="auto"/>
              <w:right w:val="single" w:sz="4" w:space="0" w:color="auto"/>
            </w:tcBorders>
            <w:shd w:val="clear" w:color="auto" w:fill="auto"/>
            <w:noWrap/>
            <w:vAlign w:val="bottom"/>
            <w:hideMark/>
          </w:tcPr>
          <w:p w14:paraId="06B17445"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401 890</w:t>
            </w:r>
          </w:p>
        </w:tc>
        <w:tc>
          <w:tcPr>
            <w:tcW w:w="1280" w:type="dxa"/>
            <w:tcBorders>
              <w:top w:val="nil"/>
              <w:left w:val="nil"/>
              <w:bottom w:val="single" w:sz="4" w:space="0" w:color="auto"/>
              <w:right w:val="single" w:sz="4" w:space="0" w:color="auto"/>
            </w:tcBorders>
            <w:shd w:val="clear" w:color="auto" w:fill="auto"/>
            <w:noWrap/>
            <w:vAlign w:val="bottom"/>
            <w:hideMark/>
          </w:tcPr>
          <w:p w14:paraId="60C62A92"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401 890</w:t>
            </w:r>
          </w:p>
        </w:tc>
        <w:tc>
          <w:tcPr>
            <w:tcW w:w="1280" w:type="dxa"/>
            <w:tcBorders>
              <w:top w:val="nil"/>
              <w:left w:val="nil"/>
              <w:bottom w:val="single" w:sz="4" w:space="0" w:color="auto"/>
              <w:right w:val="single" w:sz="4" w:space="0" w:color="auto"/>
            </w:tcBorders>
            <w:shd w:val="clear" w:color="auto" w:fill="auto"/>
            <w:noWrap/>
            <w:vAlign w:val="bottom"/>
            <w:hideMark/>
          </w:tcPr>
          <w:p w14:paraId="2D5C0306"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401 890</w:t>
            </w:r>
          </w:p>
        </w:tc>
      </w:tr>
      <w:tr w:rsidR="009E3D59" w:rsidRPr="009E3D59" w14:paraId="70D016E2" w14:textId="77777777" w:rsidTr="00AB5303">
        <w:trPr>
          <w:trHeight w:val="288"/>
        </w:trPr>
        <w:tc>
          <w:tcPr>
            <w:tcW w:w="4220" w:type="dxa"/>
            <w:tcBorders>
              <w:top w:val="nil"/>
              <w:left w:val="single" w:sz="4" w:space="0" w:color="auto"/>
              <w:bottom w:val="single" w:sz="4" w:space="0" w:color="auto"/>
              <w:right w:val="single" w:sz="4" w:space="0" w:color="auto"/>
            </w:tcBorders>
            <w:shd w:val="clear" w:color="000000" w:fill="FFF2CC"/>
            <w:noWrap/>
            <w:vAlign w:val="bottom"/>
            <w:hideMark/>
          </w:tcPr>
          <w:p w14:paraId="402D2192" w14:textId="77777777" w:rsidR="009E3D59" w:rsidRPr="009E3D59" w:rsidRDefault="009E3D59" w:rsidP="00AB5303">
            <w:pP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Kokku</w:t>
            </w:r>
          </w:p>
        </w:tc>
        <w:tc>
          <w:tcPr>
            <w:tcW w:w="1280" w:type="dxa"/>
            <w:tcBorders>
              <w:top w:val="nil"/>
              <w:left w:val="nil"/>
              <w:bottom w:val="single" w:sz="4" w:space="0" w:color="auto"/>
              <w:right w:val="single" w:sz="4" w:space="0" w:color="auto"/>
            </w:tcBorders>
            <w:shd w:val="clear" w:color="000000" w:fill="FFF2CC"/>
            <w:noWrap/>
            <w:vAlign w:val="bottom"/>
            <w:hideMark/>
          </w:tcPr>
          <w:p w14:paraId="1E6DA4A0"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904 448</w:t>
            </w:r>
          </w:p>
        </w:tc>
        <w:tc>
          <w:tcPr>
            <w:tcW w:w="1280" w:type="dxa"/>
            <w:tcBorders>
              <w:top w:val="nil"/>
              <w:left w:val="nil"/>
              <w:bottom w:val="single" w:sz="4" w:space="0" w:color="auto"/>
              <w:right w:val="single" w:sz="4" w:space="0" w:color="auto"/>
            </w:tcBorders>
            <w:shd w:val="clear" w:color="000000" w:fill="FFF2CC"/>
            <w:noWrap/>
            <w:vAlign w:val="bottom"/>
            <w:hideMark/>
          </w:tcPr>
          <w:p w14:paraId="6F5145A5"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401 890</w:t>
            </w:r>
          </w:p>
        </w:tc>
        <w:tc>
          <w:tcPr>
            <w:tcW w:w="1280" w:type="dxa"/>
            <w:tcBorders>
              <w:top w:val="nil"/>
              <w:left w:val="nil"/>
              <w:bottom w:val="single" w:sz="4" w:space="0" w:color="auto"/>
              <w:right w:val="single" w:sz="4" w:space="0" w:color="auto"/>
            </w:tcBorders>
            <w:shd w:val="clear" w:color="000000" w:fill="FFF2CC"/>
            <w:noWrap/>
            <w:vAlign w:val="bottom"/>
            <w:hideMark/>
          </w:tcPr>
          <w:p w14:paraId="1BE9BBA3"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401 890</w:t>
            </w:r>
          </w:p>
        </w:tc>
      </w:tr>
    </w:tbl>
    <w:p w14:paraId="7A0ABE8E" w14:textId="77777777" w:rsidR="009E3D59" w:rsidRPr="009E3D59" w:rsidRDefault="009E3D59" w:rsidP="009E3D59">
      <w:pPr>
        <w:jc w:val="both"/>
        <w:rPr>
          <w:rFonts w:ascii="Times New Roman" w:hAnsi="Times New Roman" w:cs="Times New Roman"/>
          <w:szCs w:val="20"/>
        </w:rPr>
      </w:pPr>
    </w:p>
    <w:p w14:paraId="093D4181" w14:textId="77777777" w:rsidR="009E3D59" w:rsidRPr="009E3D59" w:rsidRDefault="009E3D59" w:rsidP="009E3D59">
      <w:pPr>
        <w:jc w:val="both"/>
        <w:rPr>
          <w:rFonts w:ascii="Times New Roman" w:hAnsi="Times New Roman" w:cs="Times New Roman"/>
          <w:szCs w:val="20"/>
        </w:rPr>
      </w:pPr>
      <w:r w:rsidRPr="009E3D59">
        <w:rPr>
          <w:rFonts w:ascii="Times New Roman" w:hAnsi="Times New Roman" w:cs="Times New Roman"/>
          <w:szCs w:val="20"/>
        </w:rPr>
        <w:lastRenderedPageBreak/>
        <w:t>Kinnisvarakulude ajutine vähenemine 2025. aastal summas 502,6 tuh eurot on seotud Tartu kohtute paiknemisega asenduspindadel.</w:t>
      </w:r>
    </w:p>
    <w:p w14:paraId="0E06A558" w14:textId="77777777" w:rsidR="009E3D59" w:rsidRPr="009E3D59" w:rsidRDefault="009E3D59" w:rsidP="009E3D59">
      <w:pPr>
        <w:jc w:val="both"/>
        <w:rPr>
          <w:rFonts w:ascii="Times New Roman" w:hAnsi="Times New Roman" w:cs="Times New Roman"/>
          <w:szCs w:val="20"/>
        </w:rPr>
      </w:pPr>
    </w:p>
    <w:p w14:paraId="3001CC47" w14:textId="77777777" w:rsidR="009E3D59" w:rsidRPr="009E3D59" w:rsidRDefault="009E3D59" w:rsidP="009E3D59">
      <w:pPr>
        <w:jc w:val="both"/>
        <w:rPr>
          <w:rFonts w:ascii="Times New Roman" w:hAnsi="Times New Roman" w:cs="Times New Roman"/>
          <w:szCs w:val="20"/>
        </w:rPr>
      </w:pPr>
      <w:r w:rsidRPr="009E3D59">
        <w:rPr>
          <w:rFonts w:ascii="Times New Roman" w:hAnsi="Times New Roman" w:cs="Times New Roman"/>
          <w:szCs w:val="20"/>
        </w:rPr>
        <w:t>Kinnisvarakulude püsiv kokkuhoid tuleneb Paide Kohtu- ja Riigimaja moodustamisest ning Põlva kohtumaja sulgemisest.</w:t>
      </w:r>
    </w:p>
    <w:p w14:paraId="5006992F" w14:textId="77777777" w:rsidR="009E3D59" w:rsidRPr="009E3D59" w:rsidRDefault="009E3D59" w:rsidP="009E3D59">
      <w:pPr>
        <w:jc w:val="both"/>
        <w:rPr>
          <w:rFonts w:ascii="Times New Roman" w:hAnsi="Times New Roman" w:cs="Times New Roman"/>
          <w:szCs w:val="20"/>
        </w:rPr>
      </w:pPr>
    </w:p>
    <w:p w14:paraId="282F6E4D" w14:textId="77777777" w:rsidR="009E3D59" w:rsidRPr="009E3D59" w:rsidRDefault="009E3D59" w:rsidP="009E3D59">
      <w:pPr>
        <w:pStyle w:val="Loendilik"/>
        <w:numPr>
          <w:ilvl w:val="0"/>
          <w:numId w:val="1"/>
        </w:numPr>
        <w:jc w:val="both"/>
        <w:rPr>
          <w:rFonts w:ascii="Times New Roman" w:hAnsi="Times New Roman" w:cs="Times New Roman"/>
          <w:sz w:val="20"/>
          <w:szCs w:val="20"/>
        </w:rPr>
      </w:pPr>
      <w:r w:rsidRPr="009E3D59">
        <w:rPr>
          <w:rFonts w:ascii="Times New Roman" w:hAnsi="Times New Roman" w:cs="Times New Roman"/>
          <w:sz w:val="20"/>
          <w:szCs w:val="20"/>
        </w:rPr>
        <w:t xml:space="preserve">Digilahendused </w:t>
      </w:r>
    </w:p>
    <w:p w14:paraId="3EA74BBA" w14:textId="77777777" w:rsidR="009E3D59" w:rsidRPr="009E3D59" w:rsidRDefault="009E3D59" w:rsidP="009E3D59">
      <w:pPr>
        <w:jc w:val="both"/>
        <w:rPr>
          <w:rFonts w:ascii="Times New Roman" w:hAnsi="Times New Roman" w:cs="Times New Roman"/>
          <w:szCs w:val="20"/>
        </w:rPr>
      </w:pPr>
      <w:r w:rsidRPr="009E3D59">
        <w:rPr>
          <w:rFonts w:ascii="Times New Roman" w:hAnsi="Times New Roman" w:cs="Times New Roman"/>
          <w:szCs w:val="20"/>
        </w:rPr>
        <w:t>Kohtute hinnangul on poole aasta perspektiivis vajalik ja võimalik kasutusele võtta digilahendused suulisel ja kirjalikul tõlkimisel ning istungute protokollimisel. Digilahenduste mõjude hindamisel kohtute tegevuskuludele on arvestatud nende järkjärgulise rakendamisega. Kui 2025. aastal vähenevad tegevuskulud 345 tuh eurot, siis 2027.aastal aga 1,25 milj eurot.</w:t>
      </w:r>
    </w:p>
    <w:p w14:paraId="3310EA8C" w14:textId="77777777" w:rsidR="009E3D59" w:rsidRPr="009E3D59" w:rsidRDefault="009E3D59" w:rsidP="009E3D59">
      <w:pPr>
        <w:jc w:val="both"/>
        <w:rPr>
          <w:rFonts w:ascii="Times New Roman" w:hAnsi="Times New Roman" w:cs="Times New Roman"/>
          <w:szCs w:val="20"/>
        </w:rPr>
      </w:pPr>
    </w:p>
    <w:tbl>
      <w:tblPr>
        <w:tblW w:w="8060" w:type="dxa"/>
        <w:tblCellMar>
          <w:left w:w="70" w:type="dxa"/>
          <w:right w:w="70" w:type="dxa"/>
        </w:tblCellMar>
        <w:tblLook w:val="04A0" w:firstRow="1" w:lastRow="0" w:firstColumn="1" w:lastColumn="0" w:noHBand="0" w:noVBand="1"/>
      </w:tblPr>
      <w:tblGrid>
        <w:gridCol w:w="4220"/>
        <w:gridCol w:w="1280"/>
        <w:gridCol w:w="1280"/>
        <w:gridCol w:w="1280"/>
      </w:tblGrid>
      <w:tr w:rsidR="009E3D59" w:rsidRPr="009E3D59" w14:paraId="48F6B085" w14:textId="77777777" w:rsidTr="00AB5303">
        <w:trPr>
          <w:trHeight w:val="288"/>
        </w:trPr>
        <w:tc>
          <w:tcPr>
            <w:tcW w:w="422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B02DDBE" w14:textId="77777777" w:rsidR="009E3D59" w:rsidRPr="009E3D59" w:rsidRDefault="009E3D59" w:rsidP="00AB5303">
            <w:pP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Kulude vähenemine, eurot</w:t>
            </w:r>
          </w:p>
        </w:tc>
        <w:tc>
          <w:tcPr>
            <w:tcW w:w="1280" w:type="dxa"/>
            <w:tcBorders>
              <w:top w:val="single" w:sz="4" w:space="0" w:color="auto"/>
              <w:left w:val="nil"/>
              <w:bottom w:val="single" w:sz="4" w:space="0" w:color="auto"/>
              <w:right w:val="single" w:sz="4" w:space="0" w:color="auto"/>
            </w:tcBorders>
            <w:shd w:val="clear" w:color="000000" w:fill="FFF2CC"/>
            <w:noWrap/>
            <w:vAlign w:val="bottom"/>
            <w:hideMark/>
          </w:tcPr>
          <w:p w14:paraId="2801968B"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2025</w:t>
            </w:r>
          </w:p>
        </w:tc>
        <w:tc>
          <w:tcPr>
            <w:tcW w:w="1280" w:type="dxa"/>
            <w:tcBorders>
              <w:top w:val="single" w:sz="4" w:space="0" w:color="auto"/>
              <w:left w:val="nil"/>
              <w:bottom w:val="single" w:sz="4" w:space="0" w:color="auto"/>
              <w:right w:val="single" w:sz="4" w:space="0" w:color="auto"/>
            </w:tcBorders>
            <w:shd w:val="clear" w:color="000000" w:fill="FFF2CC"/>
            <w:noWrap/>
            <w:vAlign w:val="bottom"/>
            <w:hideMark/>
          </w:tcPr>
          <w:p w14:paraId="5FF92823"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2026</w:t>
            </w:r>
          </w:p>
        </w:tc>
        <w:tc>
          <w:tcPr>
            <w:tcW w:w="1280" w:type="dxa"/>
            <w:tcBorders>
              <w:top w:val="single" w:sz="4" w:space="0" w:color="auto"/>
              <w:left w:val="nil"/>
              <w:bottom w:val="single" w:sz="4" w:space="0" w:color="auto"/>
              <w:right w:val="single" w:sz="4" w:space="0" w:color="auto"/>
            </w:tcBorders>
            <w:shd w:val="clear" w:color="000000" w:fill="FFF2CC"/>
            <w:noWrap/>
            <w:vAlign w:val="bottom"/>
            <w:hideMark/>
          </w:tcPr>
          <w:p w14:paraId="7485B827"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2027</w:t>
            </w:r>
          </w:p>
        </w:tc>
      </w:tr>
      <w:tr w:rsidR="009E3D59" w:rsidRPr="009E3D59" w14:paraId="2A425E23" w14:textId="77777777" w:rsidTr="00AB5303">
        <w:trPr>
          <w:trHeight w:val="288"/>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3ADEBE00" w14:textId="77777777" w:rsidR="009E3D59" w:rsidRPr="009E3D59" w:rsidRDefault="009E3D59" w:rsidP="00AB5303">
            <w:pP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 xml:space="preserve">Tegevuskulude vähenemine </w:t>
            </w:r>
          </w:p>
        </w:tc>
        <w:tc>
          <w:tcPr>
            <w:tcW w:w="1280" w:type="dxa"/>
            <w:tcBorders>
              <w:top w:val="nil"/>
              <w:left w:val="nil"/>
              <w:bottom w:val="single" w:sz="4" w:space="0" w:color="auto"/>
              <w:right w:val="single" w:sz="4" w:space="0" w:color="auto"/>
            </w:tcBorders>
            <w:shd w:val="clear" w:color="auto" w:fill="auto"/>
            <w:noWrap/>
            <w:vAlign w:val="bottom"/>
            <w:hideMark/>
          </w:tcPr>
          <w:p w14:paraId="0E2BDE1E"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345 000</w:t>
            </w:r>
          </w:p>
        </w:tc>
        <w:tc>
          <w:tcPr>
            <w:tcW w:w="1280" w:type="dxa"/>
            <w:tcBorders>
              <w:top w:val="nil"/>
              <w:left w:val="nil"/>
              <w:bottom w:val="single" w:sz="4" w:space="0" w:color="auto"/>
              <w:right w:val="single" w:sz="4" w:space="0" w:color="auto"/>
            </w:tcBorders>
            <w:shd w:val="clear" w:color="auto" w:fill="auto"/>
            <w:noWrap/>
            <w:vAlign w:val="bottom"/>
            <w:hideMark/>
          </w:tcPr>
          <w:p w14:paraId="43F4EFC0"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850 000</w:t>
            </w:r>
          </w:p>
        </w:tc>
        <w:tc>
          <w:tcPr>
            <w:tcW w:w="1280" w:type="dxa"/>
            <w:tcBorders>
              <w:top w:val="nil"/>
              <w:left w:val="nil"/>
              <w:bottom w:val="single" w:sz="4" w:space="0" w:color="auto"/>
              <w:right w:val="single" w:sz="4" w:space="0" w:color="auto"/>
            </w:tcBorders>
            <w:shd w:val="clear" w:color="auto" w:fill="auto"/>
            <w:noWrap/>
            <w:vAlign w:val="bottom"/>
            <w:hideMark/>
          </w:tcPr>
          <w:p w14:paraId="269E8433"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1 245 000</w:t>
            </w:r>
          </w:p>
        </w:tc>
      </w:tr>
    </w:tbl>
    <w:p w14:paraId="4F2234BD" w14:textId="77777777" w:rsidR="009E3D59" w:rsidRPr="009E3D59" w:rsidRDefault="009E3D59" w:rsidP="009E3D59">
      <w:pPr>
        <w:ind w:left="360"/>
        <w:jc w:val="both"/>
        <w:rPr>
          <w:rFonts w:ascii="Times New Roman" w:hAnsi="Times New Roman" w:cs="Times New Roman"/>
          <w:szCs w:val="20"/>
        </w:rPr>
      </w:pPr>
    </w:p>
    <w:p w14:paraId="6E4E1032" w14:textId="77777777" w:rsidR="009E3D59" w:rsidRPr="009E3D59" w:rsidRDefault="009E3D59" w:rsidP="009E3D59">
      <w:pPr>
        <w:pStyle w:val="Loendilik"/>
        <w:numPr>
          <w:ilvl w:val="0"/>
          <w:numId w:val="1"/>
        </w:numPr>
        <w:jc w:val="both"/>
        <w:rPr>
          <w:rFonts w:ascii="Times New Roman" w:hAnsi="Times New Roman" w:cs="Times New Roman"/>
          <w:sz w:val="20"/>
          <w:szCs w:val="20"/>
        </w:rPr>
      </w:pPr>
      <w:r w:rsidRPr="009E3D59">
        <w:rPr>
          <w:rFonts w:ascii="Times New Roman" w:hAnsi="Times New Roman" w:cs="Times New Roman"/>
          <w:sz w:val="20"/>
          <w:szCs w:val="20"/>
        </w:rPr>
        <w:t xml:space="preserve">Paberarhiivi </w:t>
      </w:r>
      <w:proofErr w:type="spellStart"/>
      <w:r w:rsidRPr="009E3D59">
        <w:rPr>
          <w:rFonts w:ascii="Times New Roman" w:hAnsi="Times New Roman" w:cs="Times New Roman"/>
          <w:sz w:val="20"/>
          <w:szCs w:val="20"/>
        </w:rPr>
        <w:t>digiteerimine</w:t>
      </w:r>
      <w:proofErr w:type="spellEnd"/>
      <w:r w:rsidRPr="009E3D59">
        <w:rPr>
          <w:rFonts w:ascii="Times New Roman" w:hAnsi="Times New Roman" w:cs="Times New Roman"/>
          <w:sz w:val="20"/>
          <w:szCs w:val="20"/>
        </w:rPr>
        <w:t xml:space="preserve"> ja hävitamine</w:t>
      </w:r>
    </w:p>
    <w:p w14:paraId="43D050B0" w14:textId="77777777" w:rsidR="009E3D59" w:rsidRPr="009E3D59" w:rsidRDefault="009E3D59" w:rsidP="009E3D59">
      <w:pPr>
        <w:jc w:val="both"/>
        <w:rPr>
          <w:rFonts w:ascii="Times New Roman" w:hAnsi="Times New Roman" w:cs="Times New Roman"/>
          <w:szCs w:val="20"/>
        </w:rPr>
      </w:pPr>
      <w:r w:rsidRPr="009E3D59">
        <w:rPr>
          <w:rFonts w:ascii="Times New Roman" w:hAnsi="Times New Roman" w:cs="Times New Roman"/>
          <w:szCs w:val="20"/>
        </w:rPr>
        <w:t xml:space="preserve">Pabertoimikute </w:t>
      </w:r>
      <w:proofErr w:type="spellStart"/>
      <w:r w:rsidRPr="009E3D59">
        <w:rPr>
          <w:rFonts w:ascii="Times New Roman" w:hAnsi="Times New Roman" w:cs="Times New Roman"/>
          <w:szCs w:val="20"/>
        </w:rPr>
        <w:t>digiteerimise</w:t>
      </w:r>
      <w:proofErr w:type="spellEnd"/>
      <w:r w:rsidRPr="009E3D59">
        <w:rPr>
          <w:rFonts w:ascii="Times New Roman" w:hAnsi="Times New Roman" w:cs="Times New Roman"/>
          <w:szCs w:val="20"/>
        </w:rPr>
        <w:t xml:space="preserve"> ja hävitamise eesmärk on vähendada riski, et kohtutoimikud satuvad võimaliku agressiooni korral ründaja kätte. </w:t>
      </w:r>
      <w:proofErr w:type="spellStart"/>
      <w:r w:rsidRPr="009E3D59">
        <w:rPr>
          <w:rFonts w:ascii="Times New Roman" w:hAnsi="Times New Roman" w:cs="Times New Roman"/>
          <w:szCs w:val="20"/>
        </w:rPr>
        <w:t>Digiteerimise</w:t>
      </w:r>
      <w:proofErr w:type="spellEnd"/>
      <w:r w:rsidRPr="009E3D59">
        <w:rPr>
          <w:rFonts w:ascii="Times New Roman" w:hAnsi="Times New Roman" w:cs="Times New Roman"/>
          <w:szCs w:val="20"/>
        </w:rPr>
        <w:t xml:space="preserve"> tulemusel väheneb arhiivitöö maht ning arhiivipinna vajadus. </w:t>
      </w:r>
    </w:p>
    <w:p w14:paraId="29B459F6" w14:textId="77777777" w:rsidR="009E3D59" w:rsidRPr="009E3D59" w:rsidRDefault="009E3D59" w:rsidP="009E3D59">
      <w:pPr>
        <w:jc w:val="both"/>
        <w:rPr>
          <w:rFonts w:ascii="Times New Roman" w:hAnsi="Times New Roman" w:cs="Times New Roman"/>
          <w:szCs w:val="20"/>
        </w:rPr>
      </w:pPr>
    </w:p>
    <w:tbl>
      <w:tblPr>
        <w:tblW w:w="8060" w:type="dxa"/>
        <w:tblCellMar>
          <w:left w:w="70" w:type="dxa"/>
          <w:right w:w="70" w:type="dxa"/>
        </w:tblCellMar>
        <w:tblLook w:val="04A0" w:firstRow="1" w:lastRow="0" w:firstColumn="1" w:lastColumn="0" w:noHBand="0" w:noVBand="1"/>
      </w:tblPr>
      <w:tblGrid>
        <w:gridCol w:w="4220"/>
        <w:gridCol w:w="1280"/>
        <w:gridCol w:w="1280"/>
        <w:gridCol w:w="1280"/>
      </w:tblGrid>
      <w:tr w:rsidR="009E3D59" w:rsidRPr="009E3D59" w14:paraId="21FCDA1A" w14:textId="77777777" w:rsidTr="00AB5303">
        <w:trPr>
          <w:trHeight w:val="288"/>
        </w:trPr>
        <w:tc>
          <w:tcPr>
            <w:tcW w:w="422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6EC0D09" w14:textId="77777777" w:rsidR="009E3D59" w:rsidRPr="009E3D59" w:rsidRDefault="009E3D59" w:rsidP="00AB5303">
            <w:pP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Kulude vähenemine, eurot</w:t>
            </w:r>
          </w:p>
        </w:tc>
        <w:tc>
          <w:tcPr>
            <w:tcW w:w="1280" w:type="dxa"/>
            <w:tcBorders>
              <w:top w:val="single" w:sz="4" w:space="0" w:color="auto"/>
              <w:left w:val="nil"/>
              <w:bottom w:val="single" w:sz="4" w:space="0" w:color="auto"/>
              <w:right w:val="single" w:sz="4" w:space="0" w:color="auto"/>
            </w:tcBorders>
            <w:shd w:val="clear" w:color="000000" w:fill="FFF2CC"/>
            <w:noWrap/>
            <w:vAlign w:val="bottom"/>
            <w:hideMark/>
          </w:tcPr>
          <w:p w14:paraId="28BCBD81"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2025</w:t>
            </w:r>
          </w:p>
        </w:tc>
        <w:tc>
          <w:tcPr>
            <w:tcW w:w="1280" w:type="dxa"/>
            <w:tcBorders>
              <w:top w:val="single" w:sz="4" w:space="0" w:color="auto"/>
              <w:left w:val="nil"/>
              <w:bottom w:val="single" w:sz="4" w:space="0" w:color="auto"/>
              <w:right w:val="single" w:sz="4" w:space="0" w:color="auto"/>
            </w:tcBorders>
            <w:shd w:val="clear" w:color="000000" w:fill="FFF2CC"/>
            <w:noWrap/>
            <w:vAlign w:val="bottom"/>
            <w:hideMark/>
          </w:tcPr>
          <w:p w14:paraId="6BBED048"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2026</w:t>
            </w:r>
          </w:p>
        </w:tc>
        <w:tc>
          <w:tcPr>
            <w:tcW w:w="1280" w:type="dxa"/>
            <w:tcBorders>
              <w:top w:val="single" w:sz="4" w:space="0" w:color="auto"/>
              <w:left w:val="nil"/>
              <w:bottom w:val="single" w:sz="4" w:space="0" w:color="auto"/>
              <w:right w:val="single" w:sz="4" w:space="0" w:color="auto"/>
            </w:tcBorders>
            <w:shd w:val="clear" w:color="000000" w:fill="FFF2CC"/>
            <w:noWrap/>
            <w:vAlign w:val="bottom"/>
            <w:hideMark/>
          </w:tcPr>
          <w:p w14:paraId="124952DE"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2027</w:t>
            </w:r>
          </w:p>
        </w:tc>
      </w:tr>
      <w:tr w:rsidR="009E3D59" w:rsidRPr="009E3D59" w14:paraId="72C81873" w14:textId="77777777" w:rsidTr="00AB5303">
        <w:trPr>
          <w:trHeight w:val="288"/>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7C47EDE9" w14:textId="77777777" w:rsidR="009E3D59" w:rsidRPr="009E3D59" w:rsidRDefault="009E3D59" w:rsidP="00AB5303">
            <w:pP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 xml:space="preserve">Tegevuskulude vähenemine </w:t>
            </w:r>
          </w:p>
        </w:tc>
        <w:tc>
          <w:tcPr>
            <w:tcW w:w="1280" w:type="dxa"/>
            <w:tcBorders>
              <w:top w:val="nil"/>
              <w:left w:val="nil"/>
              <w:bottom w:val="single" w:sz="4" w:space="0" w:color="auto"/>
              <w:right w:val="single" w:sz="4" w:space="0" w:color="auto"/>
            </w:tcBorders>
            <w:shd w:val="clear" w:color="auto" w:fill="auto"/>
            <w:noWrap/>
            <w:vAlign w:val="bottom"/>
            <w:hideMark/>
          </w:tcPr>
          <w:p w14:paraId="6E7EF502"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110 000</w:t>
            </w:r>
          </w:p>
        </w:tc>
        <w:tc>
          <w:tcPr>
            <w:tcW w:w="1280" w:type="dxa"/>
            <w:tcBorders>
              <w:top w:val="nil"/>
              <w:left w:val="nil"/>
              <w:bottom w:val="single" w:sz="4" w:space="0" w:color="auto"/>
              <w:right w:val="single" w:sz="4" w:space="0" w:color="auto"/>
            </w:tcBorders>
            <w:shd w:val="clear" w:color="auto" w:fill="auto"/>
            <w:noWrap/>
            <w:vAlign w:val="bottom"/>
            <w:hideMark/>
          </w:tcPr>
          <w:p w14:paraId="178A4730"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170 000</w:t>
            </w:r>
          </w:p>
        </w:tc>
        <w:tc>
          <w:tcPr>
            <w:tcW w:w="1280" w:type="dxa"/>
            <w:tcBorders>
              <w:top w:val="nil"/>
              <w:left w:val="nil"/>
              <w:bottom w:val="single" w:sz="4" w:space="0" w:color="auto"/>
              <w:right w:val="single" w:sz="4" w:space="0" w:color="auto"/>
            </w:tcBorders>
            <w:shd w:val="clear" w:color="auto" w:fill="auto"/>
            <w:noWrap/>
            <w:vAlign w:val="bottom"/>
            <w:hideMark/>
          </w:tcPr>
          <w:p w14:paraId="2ED9C0D9"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200 000</w:t>
            </w:r>
          </w:p>
        </w:tc>
      </w:tr>
    </w:tbl>
    <w:p w14:paraId="015EE8E5" w14:textId="77777777" w:rsidR="009E3D59" w:rsidRPr="009E3D59" w:rsidRDefault="009E3D59" w:rsidP="009E3D59">
      <w:pPr>
        <w:jc w:val="both"/>
        <w:rPr>
          <w:rFonts w:ascii="Times New Roman" w:hAnsi="Times New Roman" w:cs="Times New Roman"/>
          <w:szCs w:val="20"/>
        </w:rPr>
      </w:pPr>
    </w:p>
    <w:p w14:paraId="31194912" w14:textId="77777777" w:rsidR="009E3D59" w:rsidRPr="009E3D59" w:rsidRDefault="009E3D59" w:rsidP="009E3D59">
      <w:pPr>
        <w:pStyle w:val="Loendilik"/>
        <w:numPr>
          <w:ilvl w:val="0"/>
          <w:numId w:val="1"/>
        </w:numPr>
        <w:jc w:val="both"/>
        <w:rPr>
          <w:rFonts w:ascii="Times New Roman" w:hAnsi="Times New Roman" w:cs="Times New Roman"/>
          <w:sz w:val="20"/>
          <w:szCs w:val="20"/>
        </w:rPr>
      </w:pPr>
      <w:r w:rsidRPr="009E3D59">
        <w:rPr>
          <w:rFonts w:ascii="Times New Roman" w:hAnsi="Times New Roman" w:cs="Times New Roman"/>
          <w:sz w:val="20"/>
          <w:szCs w:val="20"/>
        </w:rPr>
        <w:t>Seadusemuudatused</w:t>
      </w:r>
    </w:p>
    <w:p w14:paraId="32151401" w14:textId="77777777" w:rsidR="009E3D59" w:rsidRPr="009E3D59" w:rsidRDefault="009E3D59" w:rsidP="009E3D59">
      <w:pPr>
        <w:ind w:left="360"/>
        <w:jc w:val="both"/>
        <w:rPr>
          <w:rFonts w:ascii="Times New Roman" w:hAnsi="Times New Roman" w:cs="Times New Roman"/>
          <w:szCs w:val="20"/>
        </w:rPr>
      </w:pPr>
      <w:r w:rsidRPr="009E3D59">
        <w:rPr>
          <w:rFonts w:ascii="Times New Roman" w:hAnsi="Times New Roman" w:cs="Times New Roman"/>
          <w:szCs w:val="20"/>
        </w:rPr>
        <w:t>Kohtud toetavad varasemalt arutluse all olnud seadusemuudatusi:</w:t>
      </w:r>
    </w:p>
    <w:p w14:paraId="6DAD2EE2" w14:textId="77777777" w:rsidR="009E3D59" w:rsidRPr="009E3D59" w:rsidRDefault="009E3D59" w:rsidP="009E3D59">
      <w:pPr>
        <w:pStyle w:val="Loendilik"/>
        <w:numPr>
          <w:ilvl w:val="0"/>
          <w:numId w:val="2"/>
        </w:numPr>
        <w:jc w:val="both"/>
        <w:rPr>
          <w:rFonts w:ascii="Times New Roman" w:hAnsi="Times New Roman" w:cs="Times New Roman"/>
          <w:sz w:val="20"/>
          <w:szCs w:val="20"/>
        </w:rPr>
      </w:pPr>
      <w:r w:rsidRPr="009E3D59">
        <w:rPr>
          <w:rFonts w:ascii="Times New Roman" w:hAnsi="Times New Roman" w:cs="Times New Roman"/>
          <w:sz w:val="20"/>
          <w:szCs w:val="20"/>
        </w:rPr>
        <w:t>Rahvakohtunike institutsioonist loobumine. Kohtute kulud vähenevad rahvakohtunikele makstavate hüvitiste ja tasude arvelt vähemalt 100 000 eurot aastas.</w:t>
      </w:r>
    </w:p>
    <w:p w14:paraId="27EC855C" w14:textId="77777777" w:rsidR="009E3D59" w:rsidRPr="009E3D59" w:rsidRDefault="009E3D59" w:rsidP="009E3D59">
      <w:pPr>
        <w:pStyle w:val="Loendilik"/>
        <w:numPr>
          <w:ilvl w:val="0"/>
          <w:numId w:val="2"/>
        </w:numPr>
        <w:jc w:val="both"/>
        <w:rPr>
          <w:rFonts w:ascii="Times New Roman" w:hAnsi="Times New Roman" w:cs="Times New Roman"/>
          <w:sz w:val="20"/>
          <w:szCs w:val="20"/>
        </w:rPr>
      </w:pPr>
      <w:r w:rsidRPr="009E3D59">
        <w:rPr>
          <w:rFonts w:ascii="Times New Roman" w:hAnsi="Times New Roman" w:cs="Times New Roman"/>
          <w:sz w:val="20"/>
          <w:szCs w:val="20"/>
        </w:rPr>
        <w:t xml:space="preserve">Rahvastikuregistri järgse elukoha aadressile (ja/või elektrooniliselt </w:t>
      </w:r>
      <w:r w:rsidRPr="009E3D59">
        <w:rPr>
          <w:rFonts w:ascii="Times New Roman" w:hAnsi="Times New Roman" w:cs="Times New Roman"/>
          <w:i/>
          <w:iCs/>
          <w:sz w:val="20"/>
          <w:szCs w:val="20"/>
        </w:rPr>
        <w:t>eesti.ee</w:t>
      </w:r>
      <w:r w:rsidRPr="009E3D59">
        <w:rPr>
          <w:rFonts w:ascii="Times New Roman" w:hAnsi="Times New Roman" w:cs="Times New Roman"/>
          <w:sz w:val="20"/>
          <w:szCs w:val="20"/>
        </w:rPr>
        <w:t xml:space="preserve"> e-posti aadressile) saadetud dokumentide lugemine kätte toimetatuks. Dokumentide kättetoimetamise lihtsustamisega säästavad kohtud korduvate kättetoimetamise katsetega seotud postikulu ning kohtuametnike tööaega.</w:t>
      </w:r>
    </w:p>
    <w:tbl>
      <w:tblPr>
        <w:tblW w:w="8060" w:type="dxa"/>
        <w:tblCellMar>
          <w:left w:w="70" w:type="dxa"/>
          <w:right w:w="70" w:type="dxa"/>
        </w:tblCellMar>
        <w:tblLook w:val="04A0" w:firstRow="1" w:lastRow="0" w:firstColumn="1" w:lastColumn="0" w:noHBand="0" w:noVBand="1"/>
      </w:tblPr>
      <w:tblGrid>
        <w:gridCol w:w="4220"/>
        <w:gridCol w:w="1280"/>
        <w:gridCol w:w="1280"/>
        <w:gridCol w:w="1280"/>
      </w:tblGrid>
      <w:tr w:rsidR="009E3D59" w:rsidRPr="009E3D59" w14:paraId="42EDD111" w14:textId="77777777" w:rsidTr="00AB5303">
        <w:trPr>
          <w:trHeight w:val="288"/>
        </w:trPr>
        <w:tc>
          <w:tcPr>
            <w:tcW w:w="422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7C4CFD9" w14:textId="77777777" w:rsidR="009E3D59" w:rsidRPr="009E3D59" w:rsidRDefault="009E3D59" w:rsidP="00AB5303">
            <w:pP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Kulude vähenemine võrreldes 2024.a., eurot</w:t>
            </w:r>
          </w:p>
        </w:tc>
        <w:tc>
          <w:tcPr>
            <w:tcW w:w="1280" w:type="dxa"/>
            <w:tcBorders>
              <w:top w:val="single" w:sz="4" w:space="0" w:color="auto"/>
              <w:left w:val="nil"/>
              <w:bottom w:val="single" w:sz="4" w:space="0" w:color="auto"/>
              <w:right w:val="single" w:sz="4" w:space="0" w:color="auto"/>
            </w:tcBorders>
            <w:shd w:val="clear" w:color="000000" w:fill="FFF2CC"/>
            <w:noWrap/>
            <w:vAlign w:val="center"/>
            <w:hideMark/>
          </w:tcPr>
          <w:p w14:paraId="14667EDE"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2025</w:t>
            </w:r>
          </w:p>
        </w:tc>
        <w:tc>
          <w:tcPr>
            <w:tcW w:w="1280" w:type="dxa"/>
            <w:tcBorders>
              <w:top w:val="single" w:sz="4" w:space="0" w:color="auto"/>
              <w:left w:val="nil"/>
              <w:bottom w:val="single" w:sz="4" w:space="0" w:color="auto"/>
              <w:right w:val="single" w:sz="4" w:space="0" w:color="auto"/>
            </w:tcBorders>
            <w:shd w:val="clear" w:color="000000" w:fill="FFF2CC"/>
            <w:noWrap/>
            <w:vAlign w:val="center"/>
            <w:hideMark/>
          </w:tcPr>
          <w:p w14:paraId="3B1DC59E"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2026</w:t>
            </w:r>
          </w:p>
        </w:tc>
        <w:tc>
          <w:tcPr>
            <w:tcW w:w="1280" w:type="dxa"/>
            <w:tcBorders>
              <w:top w:val="single" w:sz="4" w:space="0" w:color="auto"/>
              <w:left w:val="nil"/>
              <w:bottom w:val="single" w:sz="4" w:space="0" w:color="auto"/>
              <w:right w:val="single" w:sz="4" w:space="0" w:color="auto"/>
            </w:tcBorders>
            <w:shd w:val="clear" w:color="000000" w:fill="FFF2CC"/>
            <w:noWrap/>
            <w:vAlign w:val="center"/>
            <w:hideMark/>
          </w:tcPr>
          <w:p w14:paraId="0033165E"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2027</w:t>
            </w:r>
          </w:p>
        </w:tc>
      </w:tr>
      <w:tr w:rsidR="009E3D59" w:rsidRPr="009E3D59" w14:paraId="5C685945" w14:textId="77777777" w:rsidTr="00AB5303">
        <w:trPr>
          <w:trHeight w:val="288"/>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387A4681" w14:textId="77777777" w:rsidR="009E3D59" w:rsidRPr="009E3D59" w:rsidRDefault="009E3D59" w:rsidP="00AB5303">
            <w:pP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Rahvakohtunike institutsioonist loobumine</w:t>
            </w:r>
          </w:p>
        </w:tc>
        <w:tc>
          <w:tcPr>
            <w:tcW w:w="1280" w:type="dxa"/>
            <w:tcBorders>
              <w:top w:val="nil"/>
              <w:left w:val="nil"/>
              <w:bottom w:val="single" w:sz="4" w:space="0" w:color="auto"/>
              <w:right w:val="single" w:sz="4" w:space="0" w:color="auto"/>
            </w:tcBorders>
            <w:shd w:val="clear" w:color="auto" w:fill="auto"/>
            <w:noWrap/>
            <w:vAlign w:val="center"/>
            <w:hideMark/>
          </w:tcPr>
          <w:p w14:paraId="45EF961C"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50 000</w:t>
            </w:r>
          </w:p>
        </w:tc>
        <w:tc>
          <w:tcPr>
            <w:tcW w:w="1280" w:type="dxa"/>
            <w:tcBorders>
              <w:top w:val="nil"/>
              <w:left w:val="nil"/>
              <w:bottom w:val="single" w:sz="4" w:space="0" w:color="auto"/>
              <w:right w:val="single" w:sz="4" w:space="0" w:color="auto"/>
            </w:tcBorders>
            <w:shd w:val="clear" w:color="auto" w:fill="auto"/>
            <w:noWrap/>
            <w:vAlign w:val="bottom"/>
            <w:hideMark/>
          </w:tcPr>
          <w:p w14:paraId="135E8272"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100 000</w:t>
            </w:r>
          </w:p>
        </w:tc>
        <w:tc>
          <w:tcPr>
            <w:tcW w:w="1280" w:type="dxa"/>
            <w:tcBorders>
              <w:top w:val="nil"/>
              <w:left w:val="nil"/>
              <w:bottom w:val="single" w:sz="4" w:space="0" w:color="auto"/>
              <w:right w:val="single" w:sz="4" w:space="0" w:color="auto"/>
            </w:tcBorders>
            <w:shd w:val="clear" w:color="auto" w:fill="auto"/>
            <w:noWrap/>
            <w:vAlign w:val="bottom"/>
            <w:hideMark/>
          </w:tcPr>
          <w:p w14:paraId="2BBF13D3"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100 000</w:t>
            </w:r>
          </w:p>
        </w:tc>
      </w:tr>
      <w:tr w:rsidR="009E3D59" w:rsidRPr="009E3D59" w14:paraId="7C99336A" w14:textId="77777777" w:rsidTr="00AB5303">
        <w:trPr>
          <w:trHeight w:val="564"/>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2A35A12E" w14:textId="77777777" w:rsidR="009E3D59" w:rsidRPr="009E3D59" w:rsidRDefault="009E3D59" w:rsidP="00AB5303">
            <w:pP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Kättetoimetamine Rahvastikuregistri järgse elukoha aadressile</w:t>
            </w:r>
          </w:p>
        </w:tc>
        <w:tc>
          <w:tcPr>
            <w:tcW w:w="1280" w:type="dxa"/>
            <w:tcBorders>
              <w:top w:val="nil"/>
              <w:left w:val="nil"/>
              <w:bottom w:val="single" w:sz="4" w:space="0" w:color="auto"/>
              <w:right w:val="single" w:sz="4" w:space="0" w:color="auto"/>
            </w:tcBorders>
            <w:shd w:val="clear" w:color="auto" w:fill="auto"/>
            <w:noWrap/>
            <w:vAlign w:val="center"/>
            <w:hideMark/>
          </w:tcPr>
          <w:p w14:paraId="667537E0"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250 000</w:t>
            </w:r>
          </w:p>
        </w:tc>
        <w:tc>
          <w:tcPr>
            <w:tcW w:w="1280" w:type="dxa"/>
            <w:tcBorders>
              <w:top w:val="nil"/>
              <w:left w:val="nil"/>
              <w:bottom w:val="single" w:sz="4" w:space="0" w:color="auto"/>
              <w:right w:val="single" w:sz="4" w:space="0" w:color="auto"/>
            </w:tcBorders>
            <w:shd w:val="clear" w:color="auto" w:fill="auto"/>
            <w:noWrap/>
            <w:vAlign w:val="center"/>
            <w:hideMark/>
          </w:tcPr>
          <w:p w14:paraId="39ED883B"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500 000</w:t>
            </w:r>
          </w:p>
        </w:tc>
        <w:tc>
          <w:tcPr>
            <w:tcW w:w="1280" w:type="dxa"/>
            <w:tcBorders>
              <w:top w:val="nil"/>
              <w:left w:val="nil"/>
              <w:bottom w:val="single" w:sz="4" w:space="0" w:color="auto"/>
              <w:right w:val="single" w:sz="4" w:space="0" w:color="auto"/>
            </w:tcBorders>
            <w:shd w:val="clear" w:color="auto" w:fill="auto"/>
            <w:noWrap/>
            <w:vAlign w:val="center"/>
            <w:hideMark/>
          </w:tcPr>
          <w:p w14:paraId="689022F0" w14:textId="77777777" w:rsidR="009E3D59" w:rsidRPr="009E3D59" w:rsidRDefault="009E3D59" w:rsidP="00AB5303">
            <w:pPr>
              <w:jc w:val="center"/>
              <w:rPr>
                <w:rFonts w:ascii="Times New Roman" w:eastAsia="Times New Roman" w:hAnsi="Times New Roman" w:cs="Times New Roman"/>
                <w:color w:val="000000"/>
                <w:szCs w:val="20"/>
                <w:lang w:eastAsia="et-EE"/>
              </w:rPr>
            </w:pPr>
            <w:r w:rsidRPr="009E3D59">
              <w:rPr>
                <w:rFonts w:ascii="Times New Roman" w:eastAsia="Times New Roman" w:hAnsi="Times New Roman" w:cs="Times New Roman"/>
                <w:color w:val="000000"/>
                <w:szCs w:val="20"/>
                <w:lang w:eastAsia="et-EE"/>
              </w:rPr>
              <w:t>500 000</w:t>
            </w:r>
          </w:p>
        </w:tc>
      </w:tr>
      <w:tr w:rsidR="009E3D59" w:rsidRPr="009E3D59" w14:paraId="6BD9D469" w14:textId="77777777" w:rsidTr="00AB5303">
        <w:trPr>
          <w:trHeight w:val="288"/>
        </w:trPr>
        <w:tc>
          <w:tcPr>
            <w:tcW w:w="4220" w:type="dxa"/>
            <w:tcBorders>
              <w:top w:val="nil"/>
              <w:left w:val="single" w:sz="4" w:space="0" w:color="auto"/>
              <w:bottom w:val="single" w:sz="4" w:space="0" w:color="auto"/>
              <w:right w:val="single" w:sz="4" w:space="0" w:color="auto"/>
            </w:tcBorders>
            <w:shd w:val="clear" w:color="000000" w:fill="FFF2CC"/>
            <w:noWrap/>
            <w:vAlign w:val="bottom"/>
            <w:hideMark/>
          </w:tcPr>
          <w:p w14:paraId="1C566EBC" w14:textId="77777777" w:rsidR="009E3D59" w:rsidRPr="009E3D59" w:rsidRDefault="009E3D59" w:rsidP="00AB5303">
            <w:pP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Kokku</w:t>
            </w:r>
          </w:p>
        </w:tc>
        <w:tc>
          <w:tcPr>
            <w:tcW w:w="1280" w:type="dxa"/>
            <w:tcBorders>
              <w:top w:val="nil"/>
              <w:left w:val="nil"/>
              <w:bottom w:val="single" w:sz="4" w:space="0" w:color="auto"/>
              <w:right w:val="single" w:sz="4" w:space="0" w:color="auto"/>
            </w:tcBorders>
            <w:shd w:val="clear" w:color="000000" w:fill="FFF2CC"/>
            <w:noWrap/>
            <w:vAlign w:val="bottom"/>
            <w:hideMark/>
          </w:tcPr>
          <w:p w14:paraId="3AE2D446"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300 000</w:t>
            </w:r>
          </w:p>
        </w:tc>
        <w:tc>
          <w:tcPr>
            <w:tcW w:w="1280" w:type="dxa"/>
            <w:tcBorders>
              <w:top w:val="nil"/>
              <w:left w:val="nil"/>
              <w:bottom w:val="single" w:sz="4" w:space="0" w:color="auto"/>
              <w:right w:val="single" w:sz="4" w:space="0" w:color="auto"/>
            </w:tcBorders>
            <w:shd w:val="clear" w:color="000000" w:fill="FFF2CC"/>
            <w:noWrap/>
            <w:vAlign w:val="bottom"/>
            <w:hideMark/>
          </w:tcPr>
          <w:p w14:paraId="2AF66131"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600 000</w:t>
            </w:r>
          </w:p>
        </w:tc>
        <w:tc>
          <w:tcPr>
            <w:tcW w:w="1280" w:type="dxa"/>
            <w:tcBorders>
              <w:top w:val="nil"/>
              <w:left w:val="nil"/>
              <w:bottom w:val="single" w:sz="4" w:space="0" w:color="auto"/>
              <w:right w:val="single" w:sz="4" w:space="0" w:color="auto"/>
            </w:tcBorders>
            <w:shd w:val="clear" w:color="000000" w:fill="FFF2CC"/>
            <w:noWrap/>
            <w:vAlign w:val="bottom"/>
            <w:hideMark/>
          </w:tcPr>
          <w:p w14:paraId="48FB4D85" w14:textId="77777777" w:rsidR="009E3D59" w:rsidRPr="009E3D59" w:rsidRDefault="009E3D59" w:rsidP="00AB5303">
            <w:pPr>
              <w:jc w:val="center"/>
              <w:rPr>
                <w:rFonts w:ascii="Times New Roman" w:eastAsia="Times New Roman" w:hAnsi="Times New Roman" w:cs="Times New Roman"/>
                <w:b/>
                <w:bCs/>
                <w:color w:val="000000"/>
                <w:szCs w:val="20"/>
                <w:lang w:eastAsia="et-EE"/>
              </w:rPr>
            </w:pPr>
            <w:r w:rsidRPr="009E3D59">
              <w:rPr>
                <w:rFonts w:ascii="Times New Roman" w:eastAsia="Times New Roman" w:hAnsi="Times New Roman" w:cs="Times New Roman"/>
                <w:b/>
                <w:bCs/>
                <w:color w:val="000000"/>
                <w:szCs w:val="20"/>
                <w:lang w:eastAsia="et-EE"/>
              </w:rPr>
              <w:t>600 000</w:t>
            </w:r>
          </w:p>
        </w:tc>
      </w:tr>
    </w:tbl>
    <w:p w14:paraId="1EB6ABF8" w14:textId="77777777" w:rsidR="009E3D59" w:rsidRPr="009E3D59" w:rsidRDefault="009E3D59" w:rsidP="009E3D59">
      <w:pPr>
        <w:jc w:val="both"/>
        <w:rPr>
          <w:rFonts w:ascii="Times New Roman" w:hAnsi="Times New Roman" w:cs="Times New Roman"/>
          <w:szCs w:val="20"/>
        </w:rPr>
      </w:pPr>
    </w:p>
    <w:p w14:paraId="60F00B41" w14:textId="5C1F7D23" w:rsidR="009E3D59" w:rsidRPr="009E3D59" w:rsidRDefault="00642B58" w:rsidP="009E3D59">
      <w:pPr>
        <w:jc w:val="both"/>
        <w:rPr>
          <w:rFonts w:ascii="Times New Roman" w:hAnsi="Times New Roman" w:cs="Times New Roman"/>
          <w:b/>
          <w:bCs/>
          <w:szCs w:val="20"/>
        </w:rPr>
      </w:pPr>
      <w:r w:rsidRPr="00642B58">
        <w:rPr>
          <w:rFonts w:ascii="Times New Roman" w:hAnsi="Times New Roman" w:cs="Times New Roman"/>
          <w:b/>
          <w:bCs/>
          <w:szCs w:val="20"/>
        </w:rPr>
        <w:t>Kohtute ettepanekute mõjul on 2025.</w:t>
      </w:r>
      <w:r>
        <w:rPr>
          <w:rFonts w:ascii="Times New Roman" w:hAnsi="Times New Roman" w:cs="Times New Roman"/>
          <w:b/>
          <w:bCs/>
          <w:szCs w:val="20"/>
        </w:rPr>
        <w:t> </w:t>
      </w:r>
      <w:r w:rsidRPr="00642B58">
        <w:rPr>
          <w:rFonts w:ascii="Times New Roman" w:hAnsi="Times New Roman" w:cs="Times New Roman"/>
          <w:b/>
          <w:bCs/>
          <w:szCs w:val="20"/>
        </w:rPr>
        <w:t>aastal võimalik kokku hoida 1,66 milj eurot kulusid, 2026.</w:t>
      </w:r>
      <w:r>
        <w:rPr>
          <w:rFonts w:ascii="Times New Roman" w:hAnsi="Times New Roman" w:cs="Times New Roman"/>
          <w:b/>
          <w:bCs/>
          <w:szCs w:val="20"/>
        </w:rPr>
        <w:t> </w:t>
      </w:r>
      <w:r w:rsidRPr="00642B58">
        <w:rPr>
          <w:rFonts w:ascii="Times New Roman" w:hAnsi="Times New Roman" w:cs="Times New Roman"/>
          <w:b/>
          <w:bCs/>
          <w:szCs w:val="20"/>
        </w:rPr>
        <w:t>aastal 2,02 milj eurot kulusid ning 2027.</w:t>
      </w:r>
      <w:r>
        <w:rPr>
          <w:rFonts w:ascii="Times New Roman" w:hAnsi="Times New Roman" w:cs="Times New Roman"/>
          <w:b/>
          <w:bCs/>
          <w:szCs w:val="20"/>
        </w:rPr>
        <w:t> </w:t>
      </w:r>
      <w:r w:rsidRPr="00642B58">
        <w:rPr>
          <w:rFonts w:ascii="Times New Roman" w:hAnsi="Times New Roman" w:cs="Times New Roman"/>
          <w:b/>
          <w:bCs/>
          <w:szCs w:val="20"/>
        </w:rPr>
        <w:t>aastal 2,45 milj eurot kulusid.</w:t>
      </w:r>
    </w:p>
    <w:p w14:paraId="73ECA55C" w14:textId="77777777" w:rsidR="009E3D59" w:rsidRPr="009E3D59" w:rsidRDefault="009E3D59" w:rsidP="009E3D59">
      <w:pPr>
        <w:jc w:val="both"/>
        <w:rPr>
          <w:rFonts w:ascii="Times New Roman" w:hAnsi="Times New Roman" w:cs="Times New Roman"/>
          <w:szCs w:val="20"/>
        </w:rPr>
      </w:pPr>
    </w:p>
    <w:p w14:paraId="5890B813" w14:textId="77777777" w:rsidR="009E3D59" w:rsidRPr="009E3D59" w:rsidRDefault="009E3D59" w:rsidP="009E3D59">
      <w:pPr>
        <w:jc w:val="both"/>
        <w:rPr>
          <w:rFonts w:ascii="Times New Roman" w:hAnsi="Times New Roman" w:cs="Times New Roman"/>
          <w:szCs w:val="20"/>
        </w:rPr>
      </w:pPr>
      <w:r w:rsidRPr="009E3D59">
        <w:rPr>
          <w:rFonts w:ascii="Times New Roman" w:hAnsi="Times New Roman" w:cs="Times New Roman"/>
          <w:szCs w:val="20"/>
        </w:rPr>
        <w:t>Kohtud on viimastel aastatel tsentraliseerinud mitmed tugiteenused: tõlke- ja arhiivitöö, samuti infotelefoniteenuse. Tugiteenuste tsentraliseerimisega on kaasnenud töökorralduse tõhustamine ning ametikohtade vähenemine.</w:t>
      </w:r>
    </w:p>
    <w:p w14:paraId="42F2A245" w14:textId="77777777" w:rsidR="009E3D59" w:rsidRPr="009E3D59" w:rsidRDefault="009E3D59" w:rsidP="009E3D59">
      <w:pPr>
        <w:jc w:val="both"/>
        <w:rPr>
          <w:rFonts w:ascii="Times New Roman" w:hAnsi="Times New Roman" w:cs="Times New Roman"/>
          <w:szCs w:val="20"/>
        </w:rPr>
      </w:pPr>
    </w:p>
    <w:p w14:paraId="71480416" w14:textId="2A17FC84" w:rsidR="009E3D59" w:rsidRDefault="009E3D59" w:rsidP="009E3D59">
      <w:pPr>
        <w:jc w:val="both"/>
        <w:rPr>
          <w:rFonts w:ascii="Times New Roman" w:hAnsi="Times New Roman" w:cs="Times New Roman"/>
          <w:szCs w:val="20"/>
        </w:rPr>
      </w:pPr>
      <w:r w:rsidRPr="009E3D59">
        <w:rPr>
          <w:rFonts w:ascii="Times New Roman" w:hAnsi="Times New Roman" w:cs="Times New Roman"/>
          <w:szCs w:val="20"/>
        </w:rPr>
        <w:t>Kui kohtute ettepaneku</w:t>
      </w:r>
      <w:r w:rsidR="00642B58">
        <w:rPr>
          <w:rFonts w:ascii="Times New Roman" w:hAnsi="Times New Roman" w:cs="Times New Roman"/>
          <w:szCs w:val="20"/>
        </w:rPr>
        <w:t>te</w:t>
      </w:r>
      <w:r w:rsidRPr="009E3D59">
        <w:rPr>
          <w:rFonts w:ascii="Times New Roman" w:hAnsi="Times New Roman" w:cs="Times New Roman"/>
          <w:szCs w:val="20"/>
        </w:rPr>
        <w:t xml:space="preserve"> analüüsimisel selgub, et neile lisaks oleks vaja siiski kaaluda täiendavaid kärpeid, palume sellest kohtujuhte teavitada ning anda võimalus täiendavate ettepanekute esitamiseks.</w:t>
      </w:r>
    </w:p>
    <w:p w14:paraId="247568F6" w14:textId="77777777" w:rsidR="00DF64C7" w:rsidRDefault="00DF64C7" w:rsidP="009E3D59">
      <w:pPr>
        <w:jc w:val="both"/>
        <w:rPr>
          <w:rFonts w:ascii="Times New Roman" w:hAnsi="Times New Roman" w:cs="Times New Roman"/>
          <w:szCs w:val="20"/>
        </w:rPr>
      </w:pPr>
    </w:p>
    <w:p w14:paraId="3FB2CF0D" w14:textId="77777777" w:rsidR="00DF64C7" w:rsidRPr="009E3D59" w:rsidRDefault="00DF64C7" w:rsidP="009E3D59">
      <w:pPr>
        <w:jc w:val="both"/>
        <w:rPr>
          <w:rFonts w:ascii="Times New Roman" w:hAnsi="Times New Roman" w:cs="Times New Roman"/>
          <w:szCs w:val="20"/>
        </w:rPr>
      </w:pPr>
    </w:p>
    <w:p w14:paraId="72D1A3B8" w14:textId="77777777" w:rsidR="009E3D59" w:rsidRPr="009E3D59" w:rsidRDefault="009E3D59" w:rsidP="009E3D59">
      <w:pPr>
        <w:jc w:val="both"/>
        <w:rPr>
          <w:rFonts w:ascii="Times New Roman" w:hAnsi="Times New Roman" w:cs="Times New Roman"/>
          <w:szCs w:val="20"/>
        </w:rPr>
      </w:pPr>
    </w:p>
    <w:p w14:paraId="6F82C10D" w14:textId="77777777" w:rsidR="009E3D59" w:rsidRPr="009E3D59" w:rsidRDefault="009E3D59" w:rsidP="009E3D59">
      <w:pPr>
        <w:jc w:val="both"/>
        <w:rPr>
          <w:rFonts w:ascii="Times New Roman" w:hAnsi="Times New Roman" w:cs="Times New Roman"/>
          <w:szCs w:val="20"/>
        </w:rPr>
      </w:pPr>
      <w:r w:rsidRPr="009E3D59">
        <w:rPr>
          <w:rFonts w:ascii="Times New Roman" w:hAnsi="Times New Roman" w:cs="Times New Roman"/>
          <w:szCs w:val="20"/>
        </w:rPr>
        <w:t>Lugupidamisega</w:t>
      </w:r>
    </w:p>
    <w:p w14:paraId="06350FA1" w14:textId="77777777" w:rsidR="009E3D59" w:rsidRPr="009E3D59" w:rsidRDefault="009E3D59" w:rsidP="009E3D59">
      <w:pPr>
        <w:jc w:val="both"/>
        <w:rPr>
          <w:rFonts w:ascii="Times New Roman" w:hAnsi="Times New Roman" w:cs="Times New Roman"/>
          <w:szCs w:val="20"/>
        </w:rPr>
      </w:pPr>
    </w:p>
    <w:p w14:paraId="3CA5495D" w14:textId="77777777" w:rsidR="009E3D59" w:rsidRPr="009E3D59" w:rsidRDefault="009E3D59" w:rsidP="009E3D59">
      <w:pPr>
        <w:jc w:val="both"/>
        <w:rPr>
          <w:rFonts w:ascii="Times New Roman" w:hAnsi="Times New Roman" w:cs="Times New Roman"/>
          <w:szCs w:val="20"/>
        </w:rPr>
      </w:pPr>
    </w:p>
    <w:p w14:paraId="2BFC3F44" w14:textId="77777777" w:rsidR="009E3D59" w:rsidRPr="009E3D59" w:rsidRDefault="009E3D59" w:rsidP="009E3D59">
      <w:pPr>
        <w:rPr>
          <w:rFonts w:ascii="Times New Roman" w:hAnsi="Times New Roman" w:cs="Times New Roman"/>
          <w:szCs w:val="20"/>
        </w:rPr>
      </w:pPr>
      <w:r w:rsidRPr="009E3D59">
        <w:rPr>
          <w:rFonts w:ascii="Times New Roman" w:hAnsi="Times New Roman" w:cs="Times New Roman"/>
          <w:szCs w:val="20"/>
        </w:rPr>
        <w:t>Tiina Pappel</w:t>
      </w:r>
    </w:p>
    <w:p w14:paraId="1BA7BEEA" w14:textId="0713DC50" w:rsidR="00332F1B" w:rsidRPr="009E3D59" w:rsidRDefault="009E3D59" w:rsidP="009E3D59">
      <w:pPr>
        <w:rPr>
          <w:rFonts w:ascii="Times New Roman" w:hAnsi="Times New Roman" w:cs="Times New Roman"/>
        </w:rPr>
      </w:pPr>
      <w:r w:rsidRPr="009E3D59">
        <w:rPr>
          <w:rFonts w:ascii="Times New Roman" w:hAnsi="Times New Roman" w:cs="Times New Roman"/>
          <w:szCs w:val="20"/>
        </w:rPr>
        <w:t>Tartu Ringkonnakohtu esimees</w:t>
      </w:r>
    </w:p>
    <w:sectPr w:rsidR="00332F1B" w:rsidRPr="009E3D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A685" w14:textId="77777777" w:rsidR="00675754" w:rsidRDefault="00675754" w:rsidP="009E3D59">
      <w:r>
        <w:separator/>
      </w:r>
    </w:p>
  </w:endnote>
  <w:endnote w:type="continuationSeparator" w:id="0">
    <w:p w14:paraId="461F0A61" w14:textId="77777777" w:rsidR="00675754" w:rsidRDefault="00675754" w:rsidP="009E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1E93" w14:textId="77777777" w:rsidR="00675754" w:rsidRDefault="00675754" w:rsidP="009E3D59">
      <w:r>
        <w:separator/>
      </w:r>
    </w:p>
  </w:footnote>
  <w:footnote w:type="continuationSeparator" w:id="0">
    <w:p w14:paraId="77AA0193" w14:textId="77777777" w:rsidR="00675754" w:rsidRDefault="00675754" w:rsidP="009E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484A"/>
    <w:multiLevelType w:val="hybridMultilevel"/>
    <w:tmpl w:val="52FAA9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13832D1"/>
    <w:multiLevelType w:val="hybridMultilevel"/>
    <w:tmpl w:val="816EF644"/>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16cid:durableId="345209649">
    <w:abstractNumId w:val="0"/>
  </w:num>
  <w:num w:numId="2" w16cid:durableId="125665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59"/>
    <w:rsid w:val="00332F1B"/>
    <w:rsid w:val="00356D56"/>
    <w:rsid w:val="00422F37"/>
    <w:rsid w:val="00642B58"/>
    <w:rsid w:val="00675754"/>
    <w:rsid w:val="009E3D59"/>
    <w:rsid w:val="00BF44E1"/>
    <w:rsid w:val="00C41584"/>
    <w:rsid w:val="00DF64C7"/>
    <w:rsid w:val="00E307A2"/>
    <w:rsid w:val="00FA06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7E1D"/>
  <w15:chartTrackingRefBased/>
  <w15:docId w15:val="{A3802E86-EFDE-4D08-AC3F-8A8F4723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E3D59"/>
    <w:pPr>
      <w:spacing w:after="0" w:line="240" w:lineRule="auto"/>
    </w:pPr>
    <w:rPr>
      <w:rFonts w:ascii="Arial" w:hAnsi="Arial"/>
      <w:kern w:val="0"/>
      <w:sz w:val="20"/>
      <w:szCs w:val="24"/>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basedOn w:val="Normaallaad"/>
    <w:uiPriority w:val="1"/>
    <w:qFormat/>
    <w:rsid w:val="009E3D59"/>
    <w:pPr>
      <w:jc w:val="center"/>
      <w:outlineLvl w:val="2"/>
    </w:pPr>
    <w:rPr>
      <w:rFonts w:eastAsiaTheme="minorEastAsia"/>
      <w:color w:val="003087"/>
      <w:szCs w:val="20"/>
    </w:rPr>
  </w:style>
  <w:style w:type="character" w:styleId="Hperlink">
    <w:name w:val="Hyperlink"/>
    <w:basedOn w:val="Liguvaikefont"/>
    <w:uiPriority w:val="99"/>
    <w:unhideWhenUsed/>
    <w:rsid w:val="009E3D59"/>
    <w:rPr>
      <w:color w:val="0563C1" w:themeColor="hyperlink"/>
      <w:u w:val="single"/>
    </w:rPr>
  </w:style>
  <w:style w:type="table" w:styleId="Kontuurtabel">
    <w:name w:val="Table Grid"/>
    <w:basedOn w:val="Normaaltabel"/>
    <w:rsid w:val="009E3D59"/>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9E3D59"/>
    <w:pPr>
      <w:spacing w:after="160" w:line="259" w:lineRule="auto"/>
      <w:ind w:left="720"/>
      <w:contextualSpacing/>
    </w:pPr>
    <w:rPr>
      <w:rFonts w:asciiTheme="minorHAnsi" w:hAnsiTheme="minorHAnsi"/>
      <w:sz w:val="22"/>
      <w:szCs w:val="22"/>
    </w:rPr>
  </w:style>
  <w:style w:type="paragraph" w:styleId="Pis">
    <w:name w:val="header"/>
    <w:basedOn w:val="Normaallaad"/>
    <w:link w:val="PisMrk"/>
    <w:uiPriority w:val="99"/>
    <w:unhideWhenUsed/>
    <w:rsid w:val="009E3D59"/>
    <w:pPr>
      <w:tabs>
        <w:tab w:val="center" w:pos="4536"/>
        <w:tab w:val="right" w:pos="9072"/>
      </w:tabs>
    </w:pPr>
  </w:style>
  <w:style w:type="character" w:customStyle="1" w:styleId="PisMrk">
    <w:name w:val="Päis Märk"/>
    <w:basedOn w:val="Liguvaikefont"/>
    <w:link w:val="Pis"/>
    <w:uiPriority w:val="99"/>
    <w:rsid w:val="009E3D59"/>
    <w:rPr>
      <w:rFonts w:ascii="Arial" w:hAnsi="Arial"/>
      <w:kern w:val="0"/>
      <w:sz w:val="20"/>
      <w:szCs w:val="24"/>
      <w14:ligatures w14:val="none"/>
    </w:rPr>
  </w:style>
  <w:style w:type="paragraph" w:styleId="Jalus">
    <w:name w:val="footer"/>
    <w:basedOn w:val="Normaallaad"/>
    <w:link w:val="JalusMrk"/>
    <w:uiPriority w:val="99"/>
    <w:unhideWhenUsed/>
    <w:rsid w:val="009E3D59"/>
    <w:pPr>
      <w:tabs>
        <w:tab w:val="center" w:pos="4536"/>
        <w:tab w:val="right" w:pos="9072"/>
      </w:tabs>
    </w:pPr>
  </w:style>
  <w:style w:type="character" w:customStyle="1" w:styleId="JalusMrk">
    <w:name w:val="Jalus Märk"/>
    <w:basedOn w:val="Liguvaikefont"/>
    <w:link w:val="Jalus"/>
    <w:uiPriority w:val="99"/>
    <w:rsid w:val="009E3D59"/>
    <w:rPr>
      <w:rFonts w:ascii="Arial" w:hAnsi="Arial"/>
      <w:kern w:val="0"/>
      <w:sz w:val="20"/>
      <w:szCs w:val="24"/>
      <w14:ligatures w14:val="none"/>
    </w:rPr>
  </w:style>
  <w:style w:type="character" w:styleId="Lahendamatamainimine">
    <w:name w:val="Unresolved Mention"/>
    <w:basedOn w:val="Liguvaikefont"/>
    <w:uiPriority w:val="99"/>
    <w:semiHidden/>
    <w:unhideWhenUsed/>
    <w:rsid w:val="00DF6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isa-ly.pakosta@jus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4347</Characters>
  <Application>Microsoft Office Word</Application>
  <DocSecurity>0</DocSecurity>
  <Lines>36</Lines>
  <Paragraphs>10</Paragraphs>
  <ScaleCrop>false</ScaleCrop>
  <Company>Registrite ja Infosüsteemide Keskus</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Siigur</dc:creator>
  <cp:keywords/>
  <dc:description/>
  <cp:lastModifiedBy>Tiina Pappel</cp:lastModifiedBy>
  <cp:revision>3</cp:revision>
  <dcterms:created xsi:type="dcterms:W3CDTF">2024-08-23T06:37:00Z</dcterms:created>
  <dcterms:modified xsi:type="dcterms:W3CDTF">2024-08-23T06:54:00Z</dcterms:modified>
</cp:coreProperties>
</file>